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200"/>
      </w:pPr>
      <w:r>
        <w:rPr>
          <w:b/>
          <w:bCs/>
          <w:color w:val="3B82C4"/>
          <w:sz w:val="18"/>
          <w:szCs w:val="18"/>
        </w:rPr>
        <w:t xml:space="preserve">PORTFOLIO WORK SAMPLE</w:t>
      </w:r>
    </w:p>
    <w:p>
      <w:pPr>
        <w:spacing w:before="760"/>
      </w:pPr>
      <w:r>
        <w:rPr>
          <w:b/>
          <w:bCs/>
          <w:color w:val="1F3864"/>
          <w:sz w:val="44"/>
          <w:szCs w:val="44"/>
        </w:rPr>
        <w:t xml:space="preserve">Master Data Management</w:t>
      </w:r>
    </w:p>
    <w:p>
      <w:pPr>
        <w:pBdr>
          <w:bottom w:val="single" w:color="2E5496" w:sz="12" w:space="6"/>
        </w:pBdr>
        <w:spacing w:after="60" w:before="120"/>
      </w:pPr>
      <w:r>
        <w:rPr>
          <w:color w:val="2E5496"/>
          <w:sz w:val="24"/>
          <w:szCs w:val="24"/>
        </w:rPr>
        <w:t xml:space="preserve">Approach and operating model for a single, trusted customer view</w:t>
      </w:r>
    </w:p>
    <w:p>
      <w:pPr>
        <w:pBdr>
          <w:left w:val="single" w:color="3B82C4" w:sz="18" w:space="12"/>
        </w:pBdr>
        <w:shd w:fill="F3F7FD" w:val="clear"/>
        <w:spacing w:after="200" w:before="360"/>
      </w:pPr>
      <w:r>
        <w:rPr>
          <w:i/>
          <w:iCs/>
          <w:color w:val="33414F"/>
          <w:sz w:val="20"/>
          <w:szCs w:val="20"/>
        </w:rPr>
        <w:t xml:space="preserve">How I approach mastering the customer: the sources and system of record, the standardise, match, merge and survivorship rules, the stewardship workflow, and how it is governed. This is the approach engineers build to, not the code.</w:t>
      </w:r>
    </w:p>
    <w:p>
      <w:pPr>
        <w:spacing w:before="460"/>
      </w:pPr>
      <w:r>
        <w:rPr>
          <w:b/>
          <w:bCs/>
          <w:color w:val="595959"/>
          <w:sz w:val="22"/>
          <w:szCs w:val="22"/>
        </w:rPr>
        <w:t xml:space="preserve">About this sample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rPr>
          <w:tblHeader/>
        </w:trPr>
        <w:tc>
          <w:tcPr>
            <w:tcW w:type="dxa" w:w="3000"/>
            <w:tcBorders>
              <w:top w:val="single" w:color="BFBFBF" w:sz="1"/>
              <w:left w:val="single" w:color="BFBFBF" w:sz="1"/>
              <w:bottom w:val="single" w:color="BFBFBF" w:sz="1"/>
              <w:right w:val="single" w:color="BFBFBF" w:sz="1"/>
            </w:tcBorders>
            <w:shd w:fill="2E5496" w:val="clear"/>
            <w:tcMar>
              <w:top w:type="dxa" w:w="60"/>
              <w:left w:type="dxa" w:w="100"/>
              <w:bottom w:type="dxa" w:w="60"/>
              <w:right w:type="dxa" w:w="100"/>
            </w:tcMar>
          </w:tcPr>
          <w:p>
            <w:r>
              <w:rPr>
                <w:b/>
                <w:bCs/>
                <w:color w:val="FFFFFF"/>
                <w:sz w:val="18"/>
                <w:szCs w:val="18"/>
              </w:rPr>
              <w:t xml:space="preserve">Field</w:t>
            </w:r>
          </w:p>
        </w:tc>
        <w:tc>
          <w:tcPr>
            <w:tcW w:type="dxa" w:w="6360"/>
            <w:tcBorders>
              <w:top w:val="single" w:color="BFBFBF" w:sz="1"/>
              <w:left w:val="single" w:color="BFBFBF" w:sz="1"/>
              <w:bottom w:val="single" w:color="BFBFBF" w:sz="1"/>
              <w:right w:val="single" w:color="BFBFBF" w:sz="1"/>
            </w:tcBorders>
            <w:shd w:fill="2E5496" w:val="clear"/>
            <w:tcMar>
              <w:top w:type="dxa" w:w="60"/>
              <w:left w:type="dxa" w:w="100"/>
              <w:bottom w:type="dxa" w:w="60"/>
              <w:right w:type="dxa" w:w="100"/>
            </w:tcMar>
          </w:tcPr>
          <w:p>
            <w:r>
              <w:rPr>
                <w:b/>
                <w:bCs/>
                <w:color w:val="FFFFFF"/>
                <w:sz w:val="18"/>
                <w:szCs w:val="18"/>
              </w:rPr>
              <w:t xml:space="preserve">Value</w:t>
            </w:r>
          </w:p>
        </w:tc>
      </w:tr>
      <w:tr>
        <w:tc>
          <w:tcPr>
            <w:tcW w:type="dxa" w:w="30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Author</w:t>
            </w:r>
          </w:p>
        </w:tc>
        <w:tc>
          <w:tcPr>
            <w:tcW w:type="dxa" w:w="636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Bernard Millet</w:t>
            </w:r>
          </w:p>
        </w:tc>
      </w:tr>
      <w:tr>
        <w:tc>
          <w:tcPr>
            <w:tcW w:type="dxa" w:w="30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Artefact</w:t>
            </w:r>
          </w:p>
        </w:tc>
        <w:tc>
          <w:tcPr>
            <w:tcW w:type="dxa" w:w="636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MDM approach and operating model (work sample)</w:t>
            </w:r>
          </w:p>
        </w:tc>
      </w:tr>
      <w:tr>
        <w:tc>
          <w:tcPr>
            <w:tcW w:type="dxa" w:w="30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Data domain</w:t>
            </w:r>
          </w:p>
        </w:tc>
        <w:tc>
          <w:tcPr>
            <w:tcW w:type="dxa" w:w="636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Master &amp; Reference Data</w:t>
            </w:r>
          </w:p>
        </w:tc>
      </w:tr>
      <w:tr>
        <w:tc>
          <w:tcPr>
            <w:tcW w:type="dxa" w:w="30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Master entity</w:t>
            </w:r>
          </w:p>
        </w:tc>
        <w:tc>
          <w:tcPr>
            <w:tcW w:type="dxa" w:w="636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Customer / client</w:t>
            </w:r>
          </w:p>
        </w:tc>
      </w:tr>
      <w:tr>
        <w:tc>
          <w:tcPr>
            <w:tcW w:type="dxa" w:w="30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Context</w:t>
            </w:r>
          </w:p>
        </w:tc>
        <w:tc>
          <w:tcPr>
            <w:tcW w:type="dxa" w:w="636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Global bank / wealth manager, APAC (anonymized)</w:t>
            </w:r>
          </w:p>
        </w:tc>
      </w:tr>
      <w:tr>
        <w:tc>
          <w:tcPr>
            <w:tcW w:type="dxa" w:w="30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My role</w:t>
            </w:r>
          </w:p>
        </w:tc>
        <w:tc>
          <w:tcPr>
            <w:tcW w:type="dxa" w:w="636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Data lead; owner of the MDM approach</w:t>
            </w:r>
          </w:p>
        </w:tc>
      </w:tr>
      <w:tr>
        <w:tc>
          <w:tcPr>
            <w:tcW w:type="dxa" w:w="30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Status</w:t>
            </w:r>
          </w:p>
        </w:tc>
        <w:tc>
          <w:tcPr>
            <w:tcW w:type="dxa" w:w="636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Sanitized portfolio sample, not a client document</w:t>
            </w:r>
          </w:p>
        </w:tc>
      </w:tr>
      <w:tr>
        <w:tc>
          <w:tcPr>
            <w:tcW w:type="dxa" w:w="30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Classification</w:t>
            </w:r>
          </w:p>
        </w:tc>
        <w:tc>
          <w:tcPr>
            <w:tcW w:type="dxa" w:w="636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Public (sanitized)</w:t>
            </w:r>
          </w:p>
        </w:tc>
      </w:tr>
    </w:tbl>
    <w:p>
      <w:pPr>
        <w:pageBreakBefore/>
      </w:pPr>
    </w:p>
    <w:p>
      <w:pPr>
        <w:spacing w:after="160"/>
      </w:pPr>
      <w:r>
        <w:rPr>
          <w:b/>
          <w:bCs/>
          <w:color w:val="1F3864"/>
          <w:sz w:val="28"/>
          <w:szCs w:val="28"/>
        </w:rPr>
        <w:t xml:space="preserve">Contents</w:t>
      </w:r>
    </w:p>
    <w:sdt>
      <w:sdtPr>
        <w:alias w:val="Contents"/>
      </w:sdtPr>
      <w:sdtContent>
        <w:p>
          <w:r>
            <w:fldChar w:fldCharType="begin" w:dirty="true"/>
            <w:instrText xml:space="preserve">TOC \h \o "1-2"</w:instrText>
            <w:fldChar w:fldCharType="separate"/>
          </w:r>
        </w:p>
        <w:p>
          <w:r>
            <w:fldChar w:fldCharType="end"/>
          </w:r>
        </w:p>
      </w:sdtContent>
    </w:sdt>
    <w:p>
      <w:pPr>
        <w:pageBreakBefore/>
      </w:pPr>
    </w:p>
    <w:p>
      <w:pPr>
        <w:pStyle w:val="Heading1"/>
      </w:pPr>
      <w:r>
        <w:t xml:space="preserve">1. Purpose</w:t>
      </w:r>
    </w:p>
    <w:p>
      <w:pPr>
        <w:spacing w:after="120"/>
      </w:pPr>
      <w:r>
        <w:t xml:space="preserve">This document sets out how the bank builds and runs a single, trusted view of the customer, the master data entity that the most processes depend on. It is the approach and operating model: the principles, sources, rules and routines. It is not the technical build; engineers implement against it.</w:t>
      </w:r>
    </w:p>
    <w:p>
      <w:pPr>
        <w:pStyle w:val="Heading1"/>
      </w:pPr>
      <w:r>
        <w:t xml:space="preserve">2. Scope</w:t>
      </w:r>
    </w:p>
    <w:p>
      <w:pPr>
        <w:spacing w:after="120"/>
      </w:pPr>
      <w:r>
        <w:t xml:space="preserve">The master entity in scope is the customer (also called client). The same approach extends to counterparty and other masters. Reference data (country, currency, LEI, product taxonomy) is governed separately in the reference data register and feeds the standardisation step here.</w:t>
      </w:r>
    </w:p>
    <w:p>
      <w:pPr>
        <w:pStyle w:val="Heading1"/>
      </w:pPr>
      <w:r>
        <w:t xml:space="preserve">3. Sources and system of record</w:t>
      </w:r>
    </w:p>
    <w:p>
      <w:pPr>
        <w:spacing w:after="120"/>
      </w:pPr>
      <w:r>
        <w:t xml:space="preserve">Each attribute has one authoritative source. The golden record assembles the best value from across sources, but the system of record is where a value is owned and corrected.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3500"/>
        <w:gridCol w:w="3660"/>
      </w:tblGrid>
      <w:tr>
        <w:trPr>
          <w:tblHeader/>
        </w:trPr>
        <w:tc>
          <w:tcPr>
            <w:tcW w:type="dxa" w:w="2200"/>
            <w:tcBorders>
              <w:top w:val="single" w:color="BFBFBF" w:sz="1"/>
              <w:left w:val="single" w:color="BFBFBF" w:sz="1"/>
              <w:bottom w:val="single" w:color="BFBFBF" w:sz="1"/>
              <w:right w:val="single" w:color="BFBFBF" w:sz="1"/>
            </w:tcBorders>
            <w:shd w:fill="2E5496" w:val="clear"/>
            <w:tcMar>
              <w:top w:type="dxa" w:w="60"/>
              <w:left w:type="dxa" w:w="100"/>
              <w:bottom w:type="dxa" w:w="60"/>
              <w:right w:type="dxa" w:w="100"/>
            </w:tcMar>
          </w:tcPr>
          <w:p>
            <w:r>
              <w:rPr>
                <w:b/>
                <w:bCs/>
                <w:color w:val="FFFFFF"/>
                <w:sz w:val="18"/>
                <w:szCs w:val="18"/>
              </w:rPr>
              <w:t xml:space="preserve">Source system</w:t>
            </w:r>
          </w:p>
        </w:tc>
        <w:tc>
          <w:tcPr>
            <w:tcW w:type="dxa" w:w="3500"/>
            <w:tcBorders>
              <w:top w:val="single" w:color="BFBFBF" w:sz="1"/>
              <w:left w:val="single" w:color="BFBFBF" w:sz="1"/>
              <w:bottom w:val="single" w:color="BFBFBF" w:sz="1"/>
              <w:right w:val="single" w:color="BFBFBF" w:sz="1"/>
            </w:tcBorders>
            <w:shd w:fill="2E5496" w:val="clear"/>
            <w:tcMar>
              <w:top w:type="dxa" w:w="60"/>
              <w:left w:type="dxa" w:w="100"/>
              <w:bottom w:type="dxa" w:w="60"/>
              <w:right w:type="dxa" w:w="100"/>
            </w:tcMar>
          </w:tcPr>
          <w:p>
            <w:r>
              <w:rPr>
                <w:b/>
                <w:bCs/>
                <w:color w:val="FFFFFF"/>
                <w:sz w:val="18"/>
                <w:szCs w:val="18"/>
              </w:rPr>
              <w:t xml:space="preserve">Role</w:t>
            </w:r>
          </w:p>
        </w:tc>
        <w:tc>
          <w:tcPr>
            <w:tcW w:type="dxa" w:w="3660"/>
            <w:tcBorders>
              <w:top w:val="single" w:color="BFBFBF" w:sz="1"/>
              <w:left w:val="single" w:color="BFBFBF" w:sz="1"/>
              <w:bottom w:val="single" w:color="BFBFBF" w:sz="1"/>
              <w:right w:val="single" w:color="BFBFBF" w:sz="1"/>
            </w:tcBorders>
            <w:shd w:fill="2E5496" w:val="clear"/>
            <w:tcMar>
              <w:top w:type="dxa" w:w="60"/>
              <w:left w:type="dxa" w:w="100"/>
              <w:bottom w:type="dxa" w:w="60"/>
              <w:right w:type="dxa" w:w="100"/>
            </w:tcMar>
          </w:tcPr>
          <w:p>
            <w:r>
              <w:rPr>
                <w:b/>
                <w:bCs/>
                <w:color w:val="FFFFFF"/>
                <w:sz w:val="18"/>
                <w:szCs w:val="18"/>
              </w:rPr>
              <w:t xml:space="preserve">Authoritative for</w:t>
            </w:r>
          </w:p>
        </w:tc>
      </w:tr>
      <w:tr>
        <w:tc>
          <w:tcPr>
            <w:tcW w:type="dxa" w:w="22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CRM</w:t>
            </w:r>
          </w:p>
        </w:tc>
        <w:tc>
          <w:tcPr>
            <w:tcW w:type="dxa" w:w="35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Front-office relationship system</w:t>
            </w:r>
          </w:p>
        </w:tc>
        <w:tc>
          <w:tcPr>
            <w:tcW w:type="dxa" w:w="366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Name, contact details, relationship</w:t>
            </w:r>
          </w:p>
        </w:tc>
      </w:tr>
      <w:tr>
        <w:tc>
          <w:tcPr>
            <w:tcW w:type="dxa" w:w="22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Onboarding / KYC</w:t>
            </w:r>
          </w:p>
        </w:tc>
        <w:tc>
          <w:tcPr>
            <w:tcW w:type="dxa" w:w="35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Client onboarding and due diligence</w:t>
            </w:r>
          </w:p>
        </w:tc>
        <w:tc>
          <w:tcPr>
            <w:tcW w:type="dxa" w:w="366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Legal identity, KYC status, documents</w:t>
            </w:r>
          </w:p>
        </w:tc>
      </w:tr>
      <w:tr>
        <w:tc>
          <w:tcPr>
            <w:tcW w:type="dxa" w:w="22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ERP / Finance</w:t>
            </w:r>
          </w:p>
        </w:tc>
        <w:tc>
          <w:tcPr>
            <w:tcW w:type="dxa" w:w="35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Accounts and financials</w:t>
            </w:r>
          </w:p>
        </w:tc>
        <w:tc>
          <w:tcPr>
            <w:tcW w:type="dxa" w:w="366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Account links, financial attributes</w:t>
            </w:r>
          </w:p>
        </w:tc>
      </w:tr>
      <w:tr>
        <w:tc>
          <w:tcPr>
            <w:tcW w:type="dxa" w:w="22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Reference data store</w:t>
            </w:r>
          </w:p>
        </w:tc>
        <w:tc>
          <w:tcPr>
            <w:tcW w:type="dxa" w:w="35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Code lists and standards</w:t>
            </w:r>
          </w:p>
        </w:tc>
        <w:tc>
          <w:tcPr>
            <w:tcW w:type="dxa" w:w="366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Country, currency, LEI, product codes</w:t>
            </w:r>
          </w:p>
        </w:tc>
      </w:tr>
    </w:tbl>
    <w:p>
      <w:pPr>
        <w:pStyle w:val="Heading1"/>
      </w:pPr>
      <w:r>
        <w:t xml:space="preserve">4. Mastering approach</w:t>
      </w:r>
    </w:p>
    <w:p>
      <w:pPr>
        <w:spacing w:after="120"/>
      </w:pPr>
      <w:r>
        <w:t xml:space="preserve">The golden record is built in four steps. The emphasis is on getting standardisation and matching right, because the algorithm matters less than clean, consistent inputs.</w:t>
      </w:r>
    </w:p>
    <w:p>
      <w:pPr>
        <w:pStyle w:val="Heading2"/>
      </w:pPr>
      <w:r>
        <w:t xml:space="preserve">4.1 Standardise</w:t>
      </w:r>
    </w:p>
    <w:p>
      <w:pPr>
        <w:spacing w:after="120"/>
      </w:pPr>
      <w:r>
        <w:t xml:space="preserve">Clean and normalise the candidate records: consistent casing and formats, validated against the reference data (country, currency), and parsed names and addresses.</w:t>
      </w:r>
    </w:p>
    <w:p>
      <w:pPr>
        <w:pStyle w:val="Heading2"/>
      </w:pPr>
      <w:r>
        <w:t xml:space="preserve">4.2 Match</w:t>
      </w:r>
    </w:p>
    <w:p>
      <w:pPr>
        <w:spacing w:after="120"/>
      </w:pPr>
      <w:r>
        <w:t xml:space="preserve">Group records that represent the same customer. Deterministic matching on strong identifiers (LEI, national id, verified email); probabilistic matching on weaker combinations (name, date of birth, address) with a confidence score.</w:t>
      </w:r>
    </w:p>
    <w:p>
      <w:pPr>
        <w:pStyle w:val="Heading2"/>
      </w:pPr>
      <w:r>
        <w:t xml:space="preserve">4.3 Merge and survivorship</w:t>
      </w:r>
    </w:p>
    <w:p>
      <w:pPr>
        <w:spacing w:after="120"/>
      </w:pPr>
      <w:r>
        <w:t xml:space="preserve">Within a matched cluster, choose the surviving value for each attribute. The rule is most-trusted source first, tie-broken by most recent verified update.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rPr>
          <w:tblHeader/>
        </w:trPr>
        <w:tc>
          <w:tcPr>
            <w:tcW w:type="dxa" w:w="2800"/>
            <w:tcBorders>
              <w:top w:val="single" w:color="BFBFBF" w:sz="1"/>
              <w:left w:val="single" w:color="BFBFBF" w:sz="1"/>
              <w:bottom w:val="single" w:color="BFBFBF" w:sz="1"/>
              <w:right w:val="single" w:color="BFBFBF" w:sz="1"/>
            </w:tcBorders>
            <w:shd w:fill="2E5496" w:val="clear"/>
            <w:tcMar>
              <w:top w:type="dxa" w:w="60"/>
              <w:left w:type="dxa" w:w="100"/>
              <w:bottom w:type="dxa" w:w="60"/>
              <w:right w:type="dxa" w:w="100"/>
            </w:tcMar>
          </w:tcPr>
          <w:p>
            <w:r>
              <w:rPr>
                <w:b/>
                <w:bCs/>
                <w:color w:val="FFFFFF"/>
                <w:sz w:val="18"/>
                <w:szCs w:val="18"/>
              </w:rPr>
              <w:t xml:space="preserve">Attribute</w:t>
            </w:r>
          </w:p>
        </w:tc>
        <w:tc>
          <w:tcPr>
            <w:tcW w:type="dxa" w:w="6560"/>
            <w:tcBorders>
              <w:top w:val="single" w:color="BFBFBF" w:sz="1"/>
              <w:left w:val="single" w:color="BFBFBF" w:sz="1"/>
              <w:bottom w:val="single" w:color="BFBFBF" w:sz="1"/>
              <w:right w:val="single" w:color="BFBFBF" w:sz="1"/>
            </w:tcBorders>
            <w:shd w:fill="2E5496" w:val="clear"/>
            <w:tcMar>
              <w:top w:type="dxa" w:w="60"/>
              <w:left w:type="dxa" w:w="100"/>
              <w:bottom w:type="dxa" w:w="60"/>
              <w:right w:type="dxa" w:w="100"/>
            </w:tcMar>
          </w:tcPr>
          <w:p>
            <w:r>
              <w:rPr>
                <w:b/>
                <w:bCs/>
                <w:color w:val="FFFFFF"/>
                <w:sz w:val="18"/>
                <w:szCs w:val="18"/>
              </w:rPr>
              <w:t xml:space="preserve">Survivorship rule</w:t>
            </w:r>
          </w:p>
        </w:tc>
      </w:tr>
      <w:tr>
        <w:tc>
          <w:tcPr>
            <w:tcW w:type="dxa" w:w="28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Legal name</w:t>
            </w:r>
          </w:p>
        </w:tc>
        <w:tc>
          <w:tcPr>
            <w:tcW w:type="dxa" w:w="656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Most trusted source (Onboarding / KYC), then most recent</w:t>
            </w:r>
          </w:p>
        </w:tc>
      </w:tr>
      <w:tr>
        <w:tc>
          <w:tcPr>
            <w:tcW w:type="dxa" w:w="28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Contact email</w:t>
            </w:r>
          </w:p>
        </w:tc>
        <w:tc>
          <w:tcPr>
            <w:tcW w:type="dxa" w:w="656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Most recently verified, non-null value</w:t>
            </w:r>
          </w:p>
        </w:tc>
      </w:tr>
      <w:tr>
        <w:tc>
          <w:tcPr>
            <w:tcW w:type="dxa" w:w="28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Country / domicile</w:t>
            </w:r>
          </w:p>
        </w:tc>
        <w:tc>
          <w:tcPr>
            <w:tcW w:type="dxa" w:w="656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Onboarding / KYC, validated against reference data</w:t>
            </w:r>
          </w:p>
        </w:tc>
      </w:tr>
      <w:tr>
        <w:tc>
          <w:tcPr>
            <w:tcW w:type="dxa" w:w="28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Risk rating</w:t>
            </w:r>
          </w:p>
        </w:tc>
        <w:tc>
          <w:tcPr>
            <w:tcW w:type="dxa" w:w="656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Risk engine only (single authoritative source)</w:t>
            </w:r>
          </w:p>
        </w:tc>
      </w:tr>
    </w:tbl>
    <w:p>
      <w:pPr>
        <w:pStyle w:val="Heading2"/>
      </w:pPr>
      <w:r>
        <w:t xml:space="preserve">4.4 Publish the single view</w:t>
      </w:r>
    </w:p>
    <w:p>
      <w:pPr>
        <w:spacing w:after="120"/>
      </w:pPr>
      <w:r>
        <w:t xml:space="preserve">The surviving values form the golden record, published as the single customer view with a stable golden key and a record of which sources contributed.</w:t>
      </w:r>
    </w:p>
    <w:p>
      <w:pPr>
        <w:pStyle w:val="Heading1"/>
      </w:pPr>
      <w:r>
        <w:t xml:space="preserve">5. Stewardship and exceptions</w:t>
      </w:r>
    </w:p>
    <w:p>
      <w:pPr>
        <w:spacing w:after="120"/>
      </w:pPr>
      <w:r>
        <w:t xml:space="preserve">Automation handles the confident cases; people handle the rest. Clusters below the auto-merge confidence threshold, or with conflicting strong identifiers, are routed to a data steward review queue rather than merged automatically. Stewards confirm, split or merge, and their decisions feed back to improve matching.</w:t>
      </w:r>
    </w:p>
    <w:p>
      <w:pPr>
        <w:pStyle w:val="ListParagraph"/>
        <w:numPr>
          <w:ilvl w:val="0"/>
          <w:numId w:val="2"/>
        </w:numPr>
        <w:spacing w:after="60"/>
      </w:pPr>
      <w:r>
        <w:t xml:space="preserve">High confidence: auto-merge into the golden record.</w:t>
      </w:r>
    </w:p>
    <w:p>
      <w:pPr>
        <w:pStyle w:val="ListParagraph"/>
        <w:numPr>
          <w:ilvl w:val="0"/>
          <w:numId w:val="2"/>
        </w:numPr>
        <w:spacing w:after="60"/>
      </w:pPr>
      <w:r>
        <w:t xml:space="preserve">Medium confidence or conflict: steward review before merge.</w:t>
      </w:r>
    </w:p>
    <w:p>
      <w:pPr>
        <w:pStyle w:val="ListParagraph"/>
        <w:numPr>
          <w:ilvl w:val="0"/>
          <w:numId w:val="2"/>
        </w:numPr>
        <w:spacing w:after="60"/>
      </w:pPr>
      <w:r>
        <w:t xml:space="preserve">Low confidence: kept separate, monitored.</w:t>
      </w:r>
    </w:p>
    <w:p>
      <w:pPr>
        <w:pStyle w:val="Heading1"/>
      </w:pPr>
      <w:r>
        <w:t xml:space="preserve">6. Governance and KPIs</w:t>
      </w:r>
    </w:p>
    <w:p>
      <w:pPr>
        <w:spacing w:after="120"/>
      </w:pPr>
      <w:r>
        <w:t xml:space="preserve">The Customer data owner owns the master; stewards run it day to day. Health is tracked with a small set of KPIs, reported alongside the wider data quality scorecard.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4900"/>
        <w:gridCol w:w="1860"/>
      </w:tblGrid>
      <w:tr>
        <w:trPr>
          <w:tblHeader/>
        </w:trPr>
        <w:tc>
          <w:tcPr>
            <w:tcW w:type="dxa" w:w="2600"/>
            <w:tcBorders>
              <w:top w:val="single" w:color="BFBFBF" w:sz="1"/>
              <w:left w:val="single" w:color="BFBFBF" w:sz="1"/>
              <w:bottom w:val="single" w:color="BFBFBF" w:sz="1"/>
              <w:right w:val="single" w:color="BFBFBF" w:sz="1"/>
            </w:tcBorders>
            <w:shd w:fill="2E5496" w:val="clear"/>
            <w:tcMar>
              <w:top w:type="dxa" w:w="60"/>
              <w:left w:type="dxa" w:w="100"/>
              <w:bottom w:type="dxa" w:w="60"/>
              <w:right w:type="dxa" w:w="100"/>
            </w:tcMar>
          </w:tcPr>
          <w:p>
            <w:r>
              <w:rPr>
                <w:b/>
                <w:bCs/>
                <w:color w:val="FFFFFF"/>
                <w:sz w:val="18"/>
                <w:szCs w:val="18"/>
              </w:rPr>
              <w:t xml:space="preserve">KPI</w:t>
            </w:r>
          </w:p>
        </w:tc>
        <w:tc>
          <w:tcPr>
            <w:tcW w:type="dxa" w:w="4900"/>
            <w:tcBorders>
              <w:top w:val="single" w:color="BFBFBF" w:sz="1"/>
              <w:left w:val="single" w:color="BFBFBF" w:sz="1"/>
              <w:bottom w:val="single" w:color="BFBFBF" w:sz="1"/>
              <w:right w:val="single" w:color="BFBFBF" w:sz="1"/>
            </w:tcBorders>
            <w:shd w:fill="2E5496" w:val="clear"/>
            <w:tcMar>
              <w:top w:type="dxa" w:w="60"/>
              <w:left w:type="dxa" w:w="100"/>
              <w:bottom w:type="dxa" w:w="60"/>
              <w:right w:type="dxa" w:w="100"/>
            </w:tcMar>
          </w:tcPr>
          <w:p>
            <w:r>
              <w:rPr>
                <w:b/>
                <w:bCs/>
                <w:color w:val="FFFFFF"/>
                <w:sz w:val="18"/>
                <w:szCs w:val="18"/>
              </w:rPr>
              <w:t xml:space="preserve">What it shows</w:t>
            </w:r>
          </w:p>
        </w:tc>
        <w:tc>
          <w:tcPr>
            <w:tcW w:type="dxa" w:w="1860"/>
            <w:tcBorders>
              <w:top w:val="single" w:color="BFBFBF" w:sz="1"/>
              <w:left w:val="single" w:color="BFBFBF" w:sz="1"/>
              <w:bottom w:val="single" w:color="BFBFBF" w:sz="1"/>
              <w:right w:val="single" w:color="BFBFBF" w:sz="1"/>
            </w:tcBorders>
            <w:shd w:fill="2E5496" w:val="clear"/>
            <w:tcMar>
              <w:top w:type="dxa" w:w="60"/>
              <w:left w:type="dxa" w:w="100"/>
              <w:bottom w:type="dxa" w:w="60"/>
              <w:right w:type="dxa" w:w="100"/>
            </w:tcMar>
          </w:tcPr>
          <w:p>
            <w:r>
              <w:rPr>
                <w:b/>
                <w:bCs/>
                <w:color w:val="FFFFFF"/>
                <w:sz w:val="18"/>
                <w:szCs w:val="18"/>
              </w:rPr>
              <w:t xml:space="preserve">Example target</w:t>
            </w:r>
          </w:p>
        </w:tc>
      </w:tr>
      <w:tr>
        <w:tc>
          <w:tcPr>
            <w:tcW w:type="dxa" w:w="26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Duplicate rate</w:t>
            </w:r>
          </w:p>
        </w:tc>
        <w:tc>
          <w:tcPr>
            <w:tcW w:type="dxa" w:w="49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Share of records that are unresolved duplicates</w:t>
            </w:r>
          </w:p>
        </w:tc>
        <w:tc>
          <w:tcPr>
            <w:tcW w:type="dxa" w:w="186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Below 1%</w:t>
            </w:r>
          </w:p>
        </w:tc>
      </w:tr>
      <w:tr>
        <w:tc>
          <w:tcPr>
            <w:tcW w:type="dxa" w:w="26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Match rate</w:t>
            </w:r>
          </w:p>
        </w:tc>
        <w:tc>
          <w:tcPr>
            <w:tcW w:type="dxa" w:w="49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Share of source records resolved to a golden record</w:t>
            </w:r>
          </w:p>
        </w:tc>
        <w:tc>
          <w:tcPr>
            <w:tcW w:type="dxa" w:w="186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Above 98%</w:t>
            </w:r>
          </w:p>
        </w:tc>
      </w:tr>
      <w:tr>
        <w:tc>
          <w:tcPr>
            <w:tcW w:type="dxa" w:w="26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Single-view coverage</w:t>
            </w:r>
          </w:p>
        </w:tc>
        <w:tc>
          <w:tcPr>
            <w:tcW w:type="dxa" w:w="49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Share of customers with a complete golden record</w:t>
            </w:r>
          </w:p>
        </w:tc>
        <w:tc>
          <w:tcPr>
            <w:tcW w:type="dxa" w:w="186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Above 95%</w:t>
            </w:r>
          </w:p>
        </w:tc>
      </w:tr>
      <w:tr>
        <w:tc>
          <w:tcPr>
            <w:tcW w:type="dxa" w:w="26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Steward queue ageing</w:t>
            </w:r>
          </w:p>
        </w:tc>
        <w:tc>
          <w:tcPr>
            <w:tcW w:type="dxa" w:w="490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Open review items past their SLA</w:t>
            </w:r>
          </w:p>
        </w:tc>
        <w:tc>
          <w:tcPr>
            <w:tcW w:type="dxa" w:w="1860"/>
            <w:tcBorders>
              <w:top w:val="single" w:color="BFBFBF" w:sz="1"/>
              <w:left w:val="single" w:color="BFBFBF" w:sz="1"/>
              <w:bottom w:val="single" w:color="BFBFBF" w:sz="1"/>
              <w:right w:val="single" w:color="BFBFBF" w:sz="1"/>
            </w:tcBorders>
            <w:shd w:fill="FFFFFF" w:val="clear"/>
            <w:tcMar>
              <w:top w:type="dxa" w:w="60"/>
              <w:left w:type="dxa" w:w="100"/>
              <w:bottom w:type="dxa" w:w="60"/>
              <w:right w:type="dxa" w:w="100"/>
            </w:tcMar>
          </w:tcPr>
          <w:p>
            <w:r>
              <w:rPr>
                <w:color w:val="222222"/>
                <w:sz w:val="18"/>
                <w:szCs w:val="18"/>
              </w:rPr>
              <w:t xml:space="preserve">Zero past SLA</w:t>
            </w:r>
          </w:p>
        </w:tc>
      </w:tr>
    </w:tbl>
    <w:p>
      <w:pPr>
        <w:pStyle w:val="Heading1"/>
      </w:pPr>
      <w:r>
        <w:t xml:space="preserve">7. How this connects</w:t>
      </w:r>
    </w:p>
    <w:p>
      <w:pPr>
        <w:spacing w:after="120"/>
      </w:pPr>
      <w:r>
        <w:t xml:space="preserve">This approach sits inside the wider toolkit: it consumes the reference data register for standardisation, exposes its attributes through the business glossary and data catalog, and is monitored by the data quality rules and dashboard.</w:t>
      </w:r>
    </w:p>
    <w:p>
      <w:pPr>
        <w:pStyle w:val="Heading1"/>
      </w:pPr>
      <w:r>
        <w:t xml:space="preserve">8. Ownership and review</w:t>
      </w:r>
    </w:p>
    <w:p>
      <w:pPr>
        <w:spacing w:after="120"/>
      </w:pPr>
      <w:r>
        <w:t xml:space="preserve">The Data Governance Council and the Customer data owner own this approach. It is reviewed at least annually, or when a major source system or regulation changes.</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95959"/>
        <w:sz w:val="16"/>
        <w:szCs w:val="16"/>
      </w:rPr>
      <w:t xml:space="preserve">Bernard Millet, Data Management Portfolio      Page </w:t>
    </w:r>
    <w:r>
      <w:rPr>
        <w:color w:val="595959"/>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BFBF" w:sz="4" w:space="2"/>
      </w:pBdr>
      <w:jc w:val="right"/>
    </w:pPr>
    <w:r>
      <w:rPr>
        <w:color w:val="595959"/>
        <w:sz w:val="15"/>
        <w:szCs w:val="15"/>
      </w:rPr>
      <w:t xml:space="preserve">MDM Approach &amp; Operating Model  |  Work sample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abstractNum>
  <w:abstractNum w:abstractNumId="3" w15:restartNumberingAfterBreak="0">
    <w:multiLevelType w:val="hybridMultilevel"/>
    <w:lvl w:ilvl="0" w15:tentative="1">
      <w:start w:val="1"/>
      <w:numFmt w:val="decimal"/>
      <w:lvlText w:val="%1."/>
      <w:lvlJc w:val="left"/>
      <w:pPr>
        <w:ind w:left="60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22222"/>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2E5496" w:sz="6" w:space="4"/>
      </w:pBdr>
      <w:spacing w:after="130" w:before="300"/>
      <w:outlineLvl w:val="0"/>
    </w:pPr>
    <w:rPr>
      <w:rFonts w:ascii="Arial" w:cs="Arial" w:eastAsia="Arial" w:hAnsi="Arial"/>
      <w:b/>
      <w:bCs/>
      <w:color w:val="1F3864"/>
      <w:sz w:val="28"/>
      <w:szCs w:val="28"/>
    </w:rPr>
  </w:style>
  <w:style w:type="paragraph" w:styleId="Heading2">
    <w:name w:val="Heading 2"/>
    <w:basedOn w:val="Normal"/>
    <w:next w:val="Normal"/>
    <w:qFormat/>
    <w:pPr>
      <w:spacing w:after="80" w:before="200"/>
      <w:outlineLvl w:val="1"/>
    </w:pPr>
    <w:rPr>
      <w:rFonts w:ascii="Arial" w:cs="Arial" w:eastAsia="Arial" w:hAnsi="Arial"/>
      <w:b/>
      <w:bCs/>
      <w:color w:val="2E5496"/>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2026-06-30T09:41:08.438Z</dcterms:created>
  <dcterms:modified xsi:type="dcterms:W3CDTF">2026-06-30T09:41:08.459Z</dcterms:modified>
</cp:coreProperties>
</file>

<file path=docProps/custom.xml><?xml version="1.0" encoding="utf-8"?>
<Properties xmlns="http://schemas.openxmlformats.org/officeDocument/2006/custom-properties" xmlns:vt="http://schemas.openxmlformats.org/officeDocument/2006/docPropsVTypes"/>
</file>