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3B82C4"/>
          <w:sz w:val="18"/>
          <w:szCs w:val="18"/>
        </w:rPr>
        <w:t xml:space="preserve">PORTFOLIO WORK SAMPLE</w:t>
      </w:r>
    </w:p>
    <w:p>
      <w:pPr>
        <w:spacing w:before="820"/>
      </w:pPr>
      <w:r>
        <w:rPr>
          <w:b/>
          <w:bCs/>
          <w:color w:val="1F3864"/>
          <w:sz w:val="48"/>
          <w:szCs w:val="48"/>
        </w:rPr>
        <w:t xml:space="preserve">Data Modeling and Naming Standards</w:t>
      </w:r>
    </w:p>
    <w:p>
      <w:pPr>
        <w:pBdr>
          <w:bottom w:val="single" w:color="2E5496" w:sz="12" w:space="6"/>
        </w:pBdr>
        <w:spacing w:after="60" w:before="120"/>
      </w:pPr>
      <w:r>
        <w:rPr>
          <w:color w:val="2E5496"/>
          <w:sz w:val="25"/>
          <w:szCs w:val="25"/>
        </w:rPr>
        <w:t xml:space="preserve">Conceptual, logical and physical design; OLTP and OLAP</w:t>
      </w:r>
    </w:p>
    <w:p>
      <w:pPr>
        <w:pBdr>
          <w:left w:val="single" w:color="3B82C4" w:sz="18" w:space="12"/>
        </w:pBdr>
        <w:shd w:fill="F3F7FD" w:val="clear"/>
        <w:spacing w:after="200" w:before="360"/>
      </w:pPr>
      <w:r>
        <w:rPr>
          <w:i/>
          <w:iCs/>
          <w:color w:val="33414F"/>
          <w:sz w:val="20"/>
          <w:szCs w:val="20"/>
        </w:rPr>
        <w:t xml:space="preserve">Portfolio work sample. A sanitized data modeling and naming standard representative of the enterprise data modelling I led for Risk and Finance at a global bank, across conceptual, logical and physical relational design, and across OLTP and OLAP. It captures the conventions I enforce so models are self-documenting and BCBS 239-traceable, with a worked star-schema reference shipped alongside.</w:t>
      </w:r>
    </w:p>
    <w:p>
      <w:pPr>
        <w:spacing w:before="520"/>
      </w:pPr>
      <w:r>
        <w:rPr>
          <w:b/>
          <w:bCs/>
          <w:color w:val="595959"/>
          <w:sz w:val="22"/>
          <w:szCs w:val="22"/>
        </w:rPr>
        <w:t xml:space="preserve">About this sample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Field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Author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Bernard Millet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Artefact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 modeling and naming standard (work sample)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 domain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 Modeling and Design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Context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Global bank. Enterprise model for Risk and Finance (anonymized)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My role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 architect / enterprise data modeller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Status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Sanitized portfolio sample, not a client document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Classification</w:t>
            </w:r>
          </w:p>
        </w:tc>
        <w:tc>
          <w:tcPr>
            <w:tcW w:type="dxa" w:w="6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Public (sanitized)</w:t>
            </w:r>
          </w:p>
        </w:tc>
      </w:tr>
    </w:tbl>
    <w:p>
      <w:pPr>
        <w:spacing w:before="240"/>
      </w:pPr>
      <w:r>
        <w:rPr>
          <w:i/>
          <w:iCs/>
          <w:color w:val="595959"/>
          <w:sz w:val="16"/>
          <w:szCs w:val="16"/>
        </w:rPr>
        <w:t xml:space="preserve">Confidentiality note: this is a sanitized work sample authored by Bernard Millet. All client-specific data, names and identifiers have been removed; it is representative of approach and craft, not a client deliverable.</w:t>
      </w:r>
    </w:p>
    <w:p>
      <w:pPr>
        <w:pageBreakBefore/>
      </w:pPr>
    </w:p>
    <w:p>
      <w:pPr>
        <w:spacing w:after="160"/>
      </w:pPr>
      <w:r>
        <w:rPr>
          <w:b/>
          <w:bCs/>
          <w:color w:val="1F3864"/>
          <w:sz w:val="28"/>
          <w:szCs w:val="28"/>
        </w:rPr>
        <w:t xml:space="preserve">Contents</w:t>
      </w:r>
    </w:p>
    <w:sdt>
      <w:sdtPr>
        <w:alias w:val="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</w:p>
    <w:p>
      <w:pPr>
        <w:pStyle w:val="Heading1"/>
      </w:pPr>
      <w:r>
        <w:t xml:space="preserve">1. Purpose</w:t>
      </w:r>
    </w:p>
    <w:p>
      <w:pPr>
        <w:spacing w:after="120"/>
      </w:pPr>
      <w:r>
        <w:t xml:space="preserve">This standard defines how data is modelled and named across the organization so that models are consistent, self-documenting, and traceable for regulatory reporting (e.g. BCBS 239). It applies to conceptual, logical and physical models in all analytical and operational stores.</w:t>
      </w:r>
    </w:p>
    <w:p>
      <w:pPr>
        <w:pStyle w:val="Heading1"/>
      </w:pPr>
      <w:r>
        <w:t xml:space="preserve">2. Three levels of relational modelling</w:t>
      </w:r>
    </w:p>
    <w:p>
      <w:pPr>
        <w:spacing w:after="120"/>
      </w:pPr>
      <w:r>
        <w:t xml:space="preserve">Every relational database is designed top-down through three levels. The conceptual model is agreed with the business, the logical model adds attributes and keys independent of technology, and the physical model implements it for a specific platform.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560"/>
        <w:gridCol w:w="2100"/>
        <w:gridCol w:w="2000"/>
      </w:tblGrid>
      <w:tr>
        <w:trPr>
          <w:tblHeader/>
        </w:trP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Level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Answers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Audience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Artefact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Conceptual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What entities and relationships matter to the business?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Business / stewards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Entity-relationship sketch, glossary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Logical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What attributes, keys and rules, independent of technology?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Architects / analysts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Normalised or dimensional logical model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Physical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How is it implemented in this platform?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Engineers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DDL, indexes, partitioning, storage</w:t>
            </w:r>
          </w:p>
        </w:tc>
      </w:tr>
    </w:tbl>
    <w:p>
      <w:pPr>
        <w:pStyle w:val="Heading2"/>
      </w:pPr>
      <w:r>
        <w:t xml:space="preserve">2.1 Choosing the shape: OLTP vs OLAP</w:t>
      </w:r>
    </w:p>
    <w:p>
      <w:pPr>
        <w:spacing w:after="120"/>
      </w:pPr>
      <w:r>
        <w:t xml:space="preserve">The three levels apply to both transactional and analytical databases; the physical shape differs because the workload differs. I model both, and conform them so the warehouse reconciles to the systems of record.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730"/>
        <w:gridCol w:w="3730"/>
      </w:tblGrid>
      <w:tr>
        <w:trPr>
          <w:tblHeader/>
        </w:trP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Aspect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OLTP (transactional)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OLAP (analytical)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Purpose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Run the business: capture transactions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Analyse the business: reporting and insight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Model shape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Highly normalised (3NF) to minimise redundancy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Dimensional, star / snowflake schema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Typical operations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Many small reads and writes (INSERT/UPDATE)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Large reads, aggregations, historical scans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Grain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One business record (an order, a payment)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Facts at a defined grain + conformed dimensions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Optimised for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Integrity and concurrency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Query speed and historical analysis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Example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Source order / account tables</w:t>
            </w:r>
          </w:p>
        </w:tc>
        <w:tc>
          <w:tcPr>
            <w:tcW w:type="dxa" w:w="373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The dim_* / fct_* model in the companion DDL</w:t>
            </w:r>
          </w:p>
        </w:tc>
      </w:tr>
    </w:tbl>
    <w:p>
      <w:pPr>
        <w:pStyle w:val="Heading1"/>
      </w:pPr>
      <w:r>
        <w:t xml:space="preserve">3. Naming conventions</w:t>
      </w:r>
    </w:p>
    <w:p>
      <w:pPr>
        <w:spacing w:after="120"/>
      </w:pPr>
      <w:r>
        <w:t xml:space="preserve">Names are lower_snake_case, singular for entities, prefixed by object type. No abbreviations except an approved glossary.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360"/>
        <w:gridCol w:w="2600"/>
      </w:tblGrid>
      <w:tr>
        <w:trPr>
          <w:tblHeader/>
        </w:trP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Pattern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Meaning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549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dim_*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Dimension table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dim_customer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fct_*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Fact table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fct_transaction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br_*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Bridge / many-to-many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br_account_party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*_sk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Surrogate key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customer_sk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*_id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Natural / business key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customer_id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*_eff_from / *_eff_to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SCD2 validity window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eff_from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is_*</w:t>
            </w:r>
          </w:p>
        </w:tc>
        <w:tc>
          <w:tcPr>
            <w:tcW w:type="dxa" w:w="4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Boolean flag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is_current</w:t>
            </w:r>
          </w:p>
        </w:tc>
      </w:tr>
    </w:tbl>
    <w:p>
      <w:pPr>
        <w:pStyle w:val="Heading1"/>
      </w:pPr>
      <w:r>
        <w:t xml:space="preserve">4. Keys and relationships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Every table has a single-column primary key; dimensions use a system-generated surrogate key (*_sk).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Facts join to dimensions on surrogate keys only, never on business keys.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Business/natural keys are retained as attributes for lineage and reconciliation.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Referential integrity is declared (or tested in dbt where the platform defers constraints).</w:t>
      </w:r>
    </w:p>
    <w:p>
      <w:pPr>
        <w:pStyle w:val="Heading1"/>
      </w:pPr>
      <w:r>
        <w:t xml:space="preserve">5. Dimensional design rules (OLAP)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State the grain of every fact table explicitly before adding measures.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Conform dimensions: a dimension shared across facts (date, customer) has one definition.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Track history on dimensions with Slowly Changing Dimension Type 2 (eff_from / eff_to / is_current).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Keep measures additive where possible; document semi-additive and non-additive measures.</w:t>
      </w:r>
    </w:p>
    <w:p>
      <w:pPr>
        <w:pStyle w:val="Heading1"/>
      </w:pPr>
      <w:r>
        <w:t xml:space="preserve">6. Lineage and audit columns (mandatory)</w:t>
      </w:r>
    </w:p>
    <w:p>
      <w:pPr>
        <w:spacing w:after="120"/>
      </w:pPr>
      <w:r>
        <w:t xml:space="preserve">Every persisted table carries record_source and load_ts so any value can be traced back to its origin, a BCBS 239 expectation and the foundation of trust in the model.</w:t>
      </w:r>
    </w:p>
    <w:p>
      <w:pPr>
        <w:shd w:fill="F2F4F8" w:val="clear"/>
        <w:spacing w:after="60"/>
      </w:pPr>
      <w:r>
        <w:rPr>
          <w:rFonts w:ascii="Consolas" w:cs="Consolas" w:eastAsia="Consolas" w:hAnsi="Consolas"/>
          <w:color w:val="1F3864"/>
          <w:sz w:val="18"/>
          <w:szCs w:val="18"/>
        </w:rPr>
        <w:t xml:space="preserve">record_source VARCHAR(30) NOT NULL   -- system of record</w:t>
      </w:r>
    </w:p>
    <w:p>
      <w:pPr>
        <w:shd w:fill="F2F4F8" w:val="clear"/>
        <w:spacing w:after="60"/>
      </w:pPr>
      <w:r>
        <w:rPr>
          <w:rFonts w:ascii="Consolas" w:cs="Consolas" w:eastAsia="Consolas" w:hAnsi="Consolas"/>
          <w:color w:val="1F3864"/>
          <w:sz w:val="18"/>
          <w:szCs w:val="18"/>
        </w:rPr>
        <w:t xml:space="preserve">load_ts        TIMESTAMP   NOT NULL   -- when the row was loaded</w:t>
      </w:r>
    </w:p>
    <w:p>
      <w:pPr>
        <w:spacing w:after="120"/>
      </w:pPr>
      <w:r>
        <w:rPr>
          <w:i/>
          <w:iCs/>
          <w:color w:val="595959"/>
        </w:rPr>
        <w:t xml:space="preserve">A worked reference implementation of these standards ships as the companion file 'dimensional_model_finance.sql'.</w:t>
      </w:r>
    </w:p>
    <w:p>
      <w:pPr>
        <w:pStyle w:val="Heading1"/>
      </w:pPr>
      <w:r>
        <w:t xml:space="preserve">7. Compliance and review</w:t>
      </w:r>
    </w:p>
    <w:p>
      <w:pPr>
        <w:spacing w:after="120"/>
      </w:pPr>
      <w:r>
        <w:t xml:space="preserve">New models are reviewed against this standard at design sign-off. The standard is reviewed annually by the Data Architecture function.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Bernard Millet, Data Management Portfolio      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2"/>
      </w:pBdr>
      <w:jc w:val="right"/>
    </w:pPr>
    <w:r>
      <w:rPr>
        <w:color w:val="595959"/>
        <w:sz w:val="16"/>
        <w:szCs w:val="16"/>
      </w:rPr>
      <w:t xml:space="preserve">Data Modeling and Naming Standards  |  Work sample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5496" w:sz="6" w:space="4"/>
      </w:pBdr>
      <w:spacing w:after="160" w:before="32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2E549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2026-06-29T15:33:05.672Z</dcterms:created>
  <dcterms:modified xsi:type="dcterms:W3CDTF">2026-06-29T15:33:05.672Z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