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3B82C4"/>
          <w:sz w:val="16"/>
          <w:szCs w:val="16"/>
        </w:rPr>
        <w:t xml:space="preserve">DATA GOVERNANCE  ·  WORKED EXAMPLE</w:t>
      </w:r>
    </w:p>
    <w:p>
      <w:pPr>
        <w:spacing w:after="40"/>
      </w:pPr>
      <w:r>
        <w:rPr>
          <w:b/>
          <w:bCs/>
          <w:color w:val="1F3864"/>
          <w:sz w:val="48"/>
          <w:szCs w:val="48"/>
        </w:rPr>
        <w:t xml:space="preserve">Terms of Reference</w:t>
      </w:r>
    </w:p>
    <w:p>
      <w:pPr>
        <w:spacing w:after="200"/>
      </w:pPr>
      <w:r>
        <w:rPr>
          <w:color w:val="2E5496"/>
          <w:sz w:val="30"/>
          <w:szCs w:val="30"/>
        </w:rPr>
        <w:t xml:space="preserve">Data Governance Council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BF8F00" w:sz="24"/>
              <w:bottom w:val="none" w:color="FFFFFF" w:sz="0"/>
              <w:right w:val="none" w:color="FFFFFF" w:sz="0"/>
            </w:tcBorders>
            <w:shd w:fill="FBF4E3" w:val="clear"/>
            <w:tcMar>
              <w:top w:type="dxa" w:w="120"/>
              <w:left w:type="dxa" w:w="200"/>
              <w:bottom w:type="dxa" w:w="120"/>
              <w:right w:type="dxa" w:w="160"/>
            </w:tcMar>
          </w:tcPr>
          <w:p>
            <w:r>
              <w:rPr>
                <w:b/>
                <w:bCs/>
                <w:color w:val="BF8F00"/>
                <w:sz w:val="18"/>
                <w:szCs w:val="18"/>
              </w:rPr>
              <w:t xml:space="preserve">ILLUSTRATIVE EXAMPLE.  </w:t>
            </w:r>
            <w:r>
              <w:rPr>
                <w:color w:val="5A4A1E"/>
                <w:sz w:val="18"/>
                <w:szCs w:val="18"/>
              </w:rPr>
              <w:t xml:space="preserve">This is a sanitized, client-agnostic sample showing how a completed Terms of Reference reads. Names, roles and cadence are representative and should be adapted to your organisation.</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CCD6E6" w:sz="1"/>
              <w:left w:val="single" w:color="CCD6E6" w:sz="1"/>
              <w:bottom w:val="single" w:color="CCD6E6" w:sz="1"/>
              <w:right w:val="single" w:color="CCD6E6" w:sz="1"/>
            </w:tcBorders>
            <w:shd w:fill="EAF0FA" w:val="clear"/>
            <w:tcMar>
              <w:top w:type="dxa" w:w="70"/>
              <w:left w:type="dxa" w:w="130"/>
              <w:bottom w:type="dxa" w:w="70"/>
              <w:right w:type="dxa" w:w="130"/>
            </w:tcMar>
            <w:vAlign w:val="center"/>
          </w:tcPr>
          <w:p>
            <w:r>
              <w:rPr>
                <w:b/>
                <w:bCs/>
                <w:color w:val="1B2430"/>
                <w:sz w:val="20"/>
                <w:szCs w:val="20"/>
              </w:rPr>
              <w:t xml:space="preserve">Author</w:t>
            </w:r>
          </w:p>
        </w:tc>
        <w:tc>
          <w:tcPr>
            <w:tcW w:type="dxa" w:w="6560"/>
            <w:tcBorders>
              <w:top w:val="single" w:color="CCD6E6" w:sz="1"/>
              <w:left w:val="single" w:color="CCD6E6" w:sz="1"/>
              <w:bottom w:val="single" w:color="CCD6E6" w:sz="1"/>
              <w:right w:val="single" w:color="CCD6E6" w:sz="1"/>
            </w:tcBorders>
            <w:tcMar>
              <w:top w:type="dxa" w:w="70"/>
              <w:left w:type="dxa" w:w="130"/>
              <w:bottom w:type="dxa" w:w="70"/>
              <w:right w:type="dxa" w:w="130"/>
            </w:tcMar>
            <w:vAlign w:val="center"/>
          </w:tcPr>
          <w:p>
            <w:r>
              <w:rPr>
                <w:b w:val="false"/>
                <w:bCs w:val="false"/>
                <w:color w:val="1B2430"/>
                <w:sz w:val="20"/>
                <w:szCs w:val="20"/>
              </w:rPr>
              <w:t xml:space="preserve">Bernard Millet</w:t>
            </w:r>
          </w:p>
        </w:tc>
      </w:tr>
      <w:tr>
        <w:tc>
          <w:tcPr>
            <w:tcW w:type="dxa" w:w="2800"/>
            <w:tcBorders>
              <w:top w:val="single" w:color="CCD6E6" w:sz="1"/>
              <w:left w:val="single" w:color="CCD6E6" w:sz="1"/>
              <w:bottom w:val="single" w:color="CCD6E6" w:sz="1"/>
              <w:right w:val="single" w:color="CCD6E6" w:sz="1"/>
            </w:tcBorders>
            <w:shd w:fill="EAF0FA" w:val="clear"/>
            <w:tcMar>
              <w:top w:type="dxa" w:w="70"/>
              <w:left w:type="dxa" w:w="130"/>
              <w:bottom w:type="dxa" w:w="70"/>
              <w:right w:type="dxa" w:w="130"/>
            </w:tcMar>
            <w:vAlign w:val="center"/>
          </w:tcPr>
          <w:p>
            <w:r>
              <w:rPr>
                <w:b/>
                <w:bCs/>
                <w:color w:val="1B2430"/>
                <w:sz w:val="20"/>
                <w:szCs w:val="20"/>
              </w:rPr>
              <w:t xml:space="preserve">Artefact</w:t>
            </w:r>
          </w:p>
        </w:tc>
        <w:tc>
          <w:tcPr>
            <w:tcW w:type="dxa" w:w="6560"/>
            <w:tcBorders>
              <w:top w:val="single" w:color="CCD6E6" w:sz="1"/>
              <w:left w:val="single" w:color="CCD6E6" w:sz="1"/>
              <w:bottom w:val="single" w:color="CCD6E6" w:sz="1"/>
              <w:right w:val="single" w:color="CCD6E6" w:sz="1"/>
            </w:tcBorders>
            <w:tcMar>
              <w:top w:type="dxa" w:w="70"/>
              <w:left w:type="dxa" w:w="130"/>
              <w:bottom w:type="dxa" w:w="70"/>
              <w:right w:type="dxa" w:w="130"/>
            </w:tcMar>
            <w:vAlign w:val="center"/>
          </w:tcPr>
          <w:p>
            <w:r>
              <w:rPr>
                <w:b w:val="false"/>
                <w:bCs w:val="false"/>
                <w:color w:val="1B2430"/>
                <w:sz w:val="20"/>
                <w:szCs w:val="20"/>
              </w:rPr>
              <w:t xml:space="preserve">Terms of Reference — worked example</w:t>
            </w:r>
          </w:p>
        </w:tc>
      </w:tr>
      <w:tr>
        <w:tc>
          <w:tcPr>
            <w:tcW w:type="dxa" w:w="2800"/>
            <w:tcBorders>
              <w:top w:val="single" w:color="CCD6E6" w:sz="1"/>
              <w:left w:val="single" w:color="CCD6E6" w:sz="1"/>
              <w:bottom w:val="single" w:color="CCD6E6" w:sz="1"/>
              <w:right w:val="single" w:color="CCD6E6" w:sz="1"/>
            </w:tcBorders>
            <w:shd w:fill="EAF0FA" w:val="clear"/>
            <w:tcMar>
              <w:top w:type="dxa" w:w="70"/>
              <w:left w:type="dxa" w:w="130"/>
              <w:bottom w:type="dxa" w:w="70"/>
              <w:right w:type="dxa" w:w="130"/>
            </w:tcMar>
            <w:vAlign w:val="center"/>
          </w:tcPr>
          <w:p>
            <w:r>
              <w:rPr>
                <w:b/>
                <w:bCs/>
                <w:color w:val="1B2430"/>
                <w:sz w:val="20"/>
                <w:szCs w:val="20"/>
              </w:rPr>
              <w:t xml:space="preserve">Data domain</w:t>
            </w:r>
          </w:p>
        </w:tc>
        <w:tc>
          <w:tcPr>
            <w:tcW w:type="dxa" w:w="6560"/>
            <w:tcBorders>
              <w:top w:val="single" w:color="CCD6E6" w:sz="1"/>
              <w:left w:val="single" w:color="CCD6E6" w:sz="1"/>
              <w:bottom w:val="single" w:color="CCD6E6" w:sz="1"/>
              <w:right w:val="single" w:color="CCD6E6" w:sz="1"/>
            </w:tcBorders>
            <w:tcMar>
              <w:top w:type="dxa" w:w="70"/>
              <w:left w:type="dxa" w:w="130"/>
              <w:bottom w:type="dxa" w:w="70"/>
              <w:right w:type="dxa" w:w="130"/>
            </w:tcMar>
            <w:vAlign w:val="center"/>
          </w:tcPr>
          <w:p>
            <w:r>
              <w:rPr>
                <w:b w:val="false"/>
                <w:bCs w:val="false"/>
                <w:color w:val="1B2430"/>
                <w:sz w:val="20"/>
                <w:szCs w:val="20"/>
              </w:rPr>
              <w:t xml:space="preserve">Data Governance</w:t>
            </w:r>
          </w:p>
        </w:tc>
      </w:tr>
      <w:tr>
        <w:tc>
          <w:tcPr>
            <w:tcW w:type="dxa" w:w="2800"/>
            <w:tcBorders>
              <w:top w:val="single" w:color="CCD6E6" w:sz="1"/>
              <w:left w:val="single" w:color="CCD6E6" w:sz="1"/>
              <w:bottom w:val="single" w:color="CCD6E6" w:sz="1"/>
              <w:right w:val="single" w:color="CCD6E6" w:sz="1"/>
            </w:tcBorders>
            <w:shd w:fill="EAF0FA" w:val="clear"/>
            <w:tcMar>
              <w:top w:type="dxa" w:w="70"/>
              <w:left w:type="dxa" w:w="130"/>
              <w:bottom w:type="dxa" w:w="70"/>
              <w:right w:type="dxa" w:w="130"/>
            </w:tcMar>
            <w:vAlign w:val="center"/>
          </w:tcPr>
          <w:p>
            <w:r>
              <w:rPr>
                <w:b/>
                <w:bCs/>
                <w:color w:val="1B2430"/>
                <w:sz w:val="20"/>
                <w:szCs w:val="20"/>
              </w:rPr>
              <w:t xml:space="preserve">Applies to</w:t>
            </w:r>
          </w:p>
        </w:tc>
        <w:tc>
          <w:tcPr>
            <w:tcW w:type="dxa" w:w="6560"/>
            <w:tcBorders>
              <w:top w:val="single" w:color="CCD6E6" w:sz="1"/>
              <w:left w:val="single" w:color="CCD6E6" w:sz="1"/>
              <w:bottom w:val="single" w:color="CCD6E6" w:sz="1"/>
              <w:right w:val="single" w:color="CCD6E6" w:sz="1"/>
            </w:tcBorders>
            <w:tcMar>
              <w:top w:type="dxa" w:w="70"/>
              <w:left w:type="dxa" w:w="130"/>
              <w:bottom w:type="dxa" w:w="70"/>
              <w:right w:type="dxa" w:w="130"/>
            </w:tcMar>
            <w:vAlign w:val="center"/>
          </w:tcPr>
          <w:p>
            <w:r>
              <w:rPr>
                <w:b w:val="false"/>
                <w:bCs w:val="false"/>
                <w:color w:val="1B2430"/>
                <w:sz w:val="20"/>
                <w:szCs w:val="20"/>
              </w:rPr>
              <w:t xml:space="preserve">Data Governance Council (enterprise oversight body)</w:t>
            </w:r>
          </w:p>
        </w:tc>
      </w:tr>
      <w:tr>
        <w:tc>
          <w:tcPr>
            <w:tcW w:type="dxa" w:w="2800"/>
            <w:tcBorders>
              <w:top w:val="single" w:color="CCD6E6" w:sz="1"/>
              <w:left w:val="single" w:color="CCD6E6" w:sz="1"/>
              <w:bottom w:val="single" w:color="CCD6E6" w:sz="1"/>
              <w:right w:val="single" w:color="CCD6E6" w:sz="1"/>
            </w:tcBorders>
            <w:shd w:fill="EAF0FA" w:val="clear"/>
            <w:tcMar>
              <w:top w:type="dxa" w:w="70"/>
              <w:left w:type="dxa" w:w="130"/>
              <w:bottom w:type="dxa" w:w="70"/>
              <w:right w:type="dxa" w:w="130"/>
            </w:tcMar>
            <w:vAlign w:val="center"/>
          </w:tcPr>
          <w:p>
            <w:r>
              <w:rPr>
                <w:b/>
                <w:bCs/>
                <w:color w:val="1B2430"/>
                <w:sz w:val="20"/>
                <w:szCs w:val="20"/>
              </w:rPr>
              <w:t xml:space="preserve">Status</w:t>
            </w:r>
          </w:p>
        </w:tc>
        <w:tc>
          <w:tcPr>
            <w:tcW w:type="dxa" w:w="6560"/>
            <w:tcBorders>
              <w:top w:val="single" w:color="CCD6E6" w:sz="1"/>
              <w:left w:val="single" w:color="CCD6E6" w:sz="1"/>
              <w:bottom w:val="single" w:color="CCD6E6" w:sz="1"/>
              <w:right w:val="single" w:color="CCD6E6" w:sz="1"/>
            </w:tcBorders>
            <w:tcMar>
              <w:top w:type="dxa" w:w="70"/>
              <w:left w:type="dxa" w:w="130"/>
              <w:bottom w:type="dxa" w:w="70"/>
              <w:right w:type="dxa" w:w="130"/>
            </w:tcMar>
            <w:vAlign w:val="center"/>
          </w:tcPr>
          <w:p>
            <w:r>
              <w:rPr>
                <w:b w:val="false"/>
                <w:bCs w:val="false"/>
                <w:color w:val="1B2430"/>
                <w:sz w:val="20"/>
                <w:szCs w:val="20"/>
              </w:rPr>
              <w:t xml:space="preserve">Illustrative example — sample content</w:t>
            </w:r>
          </w:p>
        </w:tc>
      </w:tr>
      <w:tr>
        <w:tc>
          <w:tcPr>
            <w:tcW w:type="dxa" w:w="2800"/>
            <w:tcBorders>
              <w:top w:val="single" w:color="CCD6E6" w:sz="1"/>
              <w:left w:val="single" w:color="CCD6E6" w:sz="1"/>
              <w:bottom w:val="single" w:color="CCD6E6" w:sz="1"/>
              <w:right w:val="single" w:color="CCD6E6" w:sz="1"/>
            </w:tcBorders>
            <w:shd w:fill="EAF0FA" w:val="clear"/>
            <w:tcMar>
              <w:top w:type="dxa" w:w="70"/>
              <w:left w:type="dxa" w:w="130"/>
              <w:bottom w:type="dxa" w:w="70"/>
              <w:right w:type="dxa" w:w="130"/>
            </w:tcMar>
            <w:vAlign w:val="center"/>
          </w:tcPr>
          <w:p>
            <w:r>
              <w:rPr>
                <w:b/>
                <w:bCs/>
                <w:color w:val="1B2430"/>
                <w:sz w:val="20"/>
                <w:szCs w:val="20"/>
              </w:rPr>
              <w:t xml:space="preserve">Version</w:t>
            </w:r>
          </w:p>
        </w:tc>
        <w:tc>
          <w:tcPr>
            <w:tcW w:type="dxa" w:w="6560"/>
            <w:tcBorders>
              <w:top w:val="single" w:color="CCD6E6" w:sz="1"/>
              <w:left w:val="single" w:color="CCD6E6" w:sz="1"/>
              <w:bottom w:val="single" w:color="CCD6E6" w:sz="1"/>
              <w:right w:val="single" w:color="CCD6E6" w:sz="1"/>
            </w:tcBorders>
            <w:tcMar>
              <w:top w:type="dxa" w:w="70"/>
              <w:left w:type="dxa" w:w="130"/>
              <w:bottom w:type="dxa" w:w="70"/>
              <w:right w:type="dxa" w:w="130"/>
            </w:tcMar>
            <w:vAlign w:val="center"/>
          </w:tcPr>
          <w:p>
            <w:r>
              <w:rPr>
                <w:b w:val="false"/>
                <w:bCs w:val="false"/>
                <w:color w:val="1B2430"/>
                <w:sz w:val="20"/>
                <w:szCs w:val="20"/>
              </w:rPr>
              <w:t xml:space="preserve">1.0</w:t>
            </w:r>
          </w:p>
        </w:tc>
      </w:tr>
      <w:tr>
        <w:tc>
          <w:tcPr>
            <w:tcW w:type="dxa" w:w="2800"/>
            <w:tcBorders>
              <w:top w:val="single" w:color="CCD6E6" w:sz="1"/>
              <w:left w:val="single" w:color="CCD6E6" w:sz="1"/>
              <w:bottom w:val="single" w:color="CCD6E6" w:sz="1"/>
              <w:right w:val="single" w:color="CCD6E6" w:sz="1"/>
            </w:tcBorders>
            <w:shd w:fill="EAF0FA" w:val="clear"/>
            <w:tcMar>
              <w:top w:type="dxa" w:w="70"/>
              <w:left w:type="dxa" w:w="130"/>
              <w:bottom w:type="dxa" w:w="70"/>
              <w:right w:type="dxa" w:w="130"/>
            </w:tcMar>
            <w:vAlign w:val="center"/>
          </w:tcPr>
          <w:p>
            <w:r>
              <w:rPr>
                <w:b/>
                <w:bCs/>
                <w:color w:val="1B2430"/>
                <w:sz w:val="20"/>
                <w:szCs w:val="20"/>
              </w:rPr>
              <w:t xml:space="preserve">Classification</w:t>
            </w:r>
          </w:p>
        </w:tc>
        <w:tc>
          <w:tcPr>
            <w:tcW w:type="dxa" w:w="6560"/>
            <w:tcBorders>
              <w:top w:val="single" w:color="CCD6E6" w:sz="1"/>
              <w:left w:val="single" w:color="CCD6E6" w:sz="1"/>
              <w:bottom w:val="single" w:color="CCD6E6" w:sz="1"/>
              <w:right w:val="single" w:color="CCD6E6" w:sz="1"/>
            </w:tcBorders>
            <w:tcMar>
              <w:top w:type="dxa" w:w="70"/>
              <w:left w:type="dxa" w:w="130"/>
              <w:bottom w:type="dxa" w:w="70"/>
              <w:right w:type="dxa" w:w="130"/>
            </w:tcMar>
            <w:vAlign w:val="center"/>
          </w:tcPr>
          <w:p>
            <w:r>
              <w:rPr>
                <w:b w:val="false"/>
                <w:bCs w:val="false"/>
                <w:color w:val="1B2430"/>
                <w:sz w:val="20"/>
                <w:szCs w:val="20"/>
              </w:rPr>
              <w:t xml:space="preserve">Public</w:t>
            </w:r>
          </w:p>
        </w:tc>
      </w:tr>
    </w:tbl>
    <w:p>
      <w:pPr>
        <w:pStyle w:val="Heading1"/>
      </w:pPr>
      <w:r>
        <w:rPr>
          <w:color w:val="1F3864"/>
        </w:rPr>
        <w:t xml:space="preserve">1. Purpose and objectives</w:t>
      </w:r>
    </w:p>
    <w:p>
      <w:pPr>
        <w:spacing w:after="120"/>
      </w:pPr>
      <w:r>
        <w:t xml:space="preserve">The Data Governance Council (“the Council”) is the enterprise authority for data governance. It sets direction, approves policy and standards, and holds the organisation accountable for the quality, protection and value of its data. It exists so that data is governed as a shared asset rather than owned in silos.</w:t>
      </w:r>
    </w:p>
    <w:p>
      <w:pPr>
        <w:pStyle w:val="Heading2"/>
      </w:pPr>
      <w:r>
        <w:rPr>
          <w:color w:val="1F3864"/>
        </w:rPr>
        <w:t xml:space="preserve">Objectives</w:t>
      </w:r>
    </w:p>
    <w:p>
      <w:pPr>
        <w:pStyle w:val="ListParagraph"/>
        <w:numPr>
          <w:ilvl w:val="0"/>
          <w:numId w:val="2"/>
        </w:numPr>
        <w:spacing w:after="60"/>
      </w:pPr>
      <w:r>
        <w:t xml:space="preserve">Establish and maintain the enterprise data governance policy, standards and operating model.</w:t>
      </w:r>
    </w:p>
    <w:p>
      <w:pPr>
        <w:pStyle w:val="ListParagraph"/>
        <w:numPr>
          <w:ilvl w:val="0"/>
          <w:numId w:val="2"/>
        </w:numPr>
        <w:spacing w:after="60"/>
      </w:pPr>
      <w:r>
        <w:t xml:space="preserve">Drive measurable improvement in the quality of critical data, tracked through agreed KPIs.</w:t>
      </w:r>
    </w:p>
    <w:p>
      <w:pPr>
        <w:pStyle w:val="ListParagraph"/>
        <w:numPr>
          <w:ilvl w:val="0"/>
          <w:numId w:val="2"/>
        </w:numPr>
        <w:spacing w:after="60"/>
      </w:pPr>
      <w:r>
        <w:t xml:space="preserve">Ensure data is protected and used in line with regulatory and privacy obligations.</w:t>
      </w:r>
    </w:p>
    <w:p>
      <w:pPr>
        <w:pStyle w:val="ListParagraph"/>
        <w:numPr>
          <w:ilvl w:val="0"/>
          <w:numId w:val="2"/>
        </w:numPr>
        <w:spacing w:after="60"/>
      </w:pPr>
      <w:r>
        <w:t xml:space="preserve">Resolve cross-domain data issues that individual owners cannot settle alone.</w:t>
      </w:r>
    </w:p>
    <w:p>
      <w:pPr>
        <w:pStyle w:val="Heading1"/>
      </w:pPr>
      <w:r>
        <w:rPr>
          <w:color w:val="1F3864"/>
        </w:rPr>
        <w:t xml:space="preserve">2. Scope and authority</w:t>
      </w:r>
    </w:p>
    <w:p>
      <w:pPr>
        <w:spacing w:after="120"/>
      </w:pPr>
      <w:r>
        <w:rPr>
          <w:b/>
          <w:bCs/>
        </w:rPr>
        <w:t xml:space="preserve">In scope: </w:t>
      </w:r>
      <w:r>
        <w:t xml:space="preserve">critical data domains (Customer, Finance, Risk, Product), the roles accountable for them, and the policies, standards and KPIs that govern them across the data lifecycle.</w:t>
      </w:r>
    </w:p>
    <w:p>
      <w:pPr>
        <w:spacing w:after="120"/>
      </w:pPr>
      <w:r>
        <w:rPr>
          <w:b/>
          <w:bCs/>
        </w:rPr>
        <w:t xml:space="preserve">Out of scope: </w:t>
      </w:r>
      <w:r>
        <w:t xml:space="preserve">day-to-day operational data processing, and application-level change delivered through normal IT governance, except where it affects governed data.</w:t>
      </w:r>
    </w:p>
    <w:p>
      <w:pPr>
        <w:spacing w:after="140"/>
      </w:pPr>
      <w:r>
        <w:rPr>
          <w:b/>
          <w:bCs/>
        </w:rPr>
        <w:t xml:space="preserve">Decision-making authority. </w:t>
      </w:r>
      <w:r>
        <w:t xml:space="preserve">For each matter the Council holds one of four levels — Approve (final say), Arbitrate (settles escalations), Recommend (proposes to a higher body), or Informed.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560"/>
        <w:gridCol w:w="2800"/>
      </w:tblGrid>
      <w:tr>
        <w:tc>
          <w:tcPr>
            <w:tcW w:type="dxa" w:w="6560"/>
            <w:tcBorders>
              <w:top w:val="single" w:color="CCD6E6" w:sz="1"/>
              <w:left w:val="single" w:color="CCD6E6" w:sz="1"/>
              <w:bottom w:val="single" w:color="CCD6E6" w:sz="1"/>
              <w:right w:val="single" w:color="CCD6E6" w:sz="1"/>
            </w:tcBorders>
            <w:shd w:fill="1F3864" w:val="clear"/>
            <w:tcMar>
              <w:top w:type="dxa" w:w="70"/>
              <w:left w:type="dxa" w:w="130"/>
              <w:bottom w:type="dxa" w:w="70"/>
              <w:right w:type="dxa" w:w="130"/>
            </w:tcMar>
            <w:vAlign w:val="center"/>
          </w:tcPr>
          <w:p>
            <w:r>
              <w:rPr>
                <w:b/>
                <w:bCs/>
                <w:color w:val="FFFFFF"/>
                <w:sz w:val="19"/>
                <w:szCs w:val="19"/>
              </w:rPr>
              <w:t xml:space="preserve">Matter / decision area</w:t>
            </w:r>
          </w:p>
        </w:tc>
        <w:tc>
          <w:tcPr>
            <w:tcW w:type="dxa" w:w="2800"/>
            <w:tcBorders>
              <w:top w:val="single" w:color="CCD6E6" w:sz="1"/>
              <w:left w:val="single" w:color="CCD6E6" w:sz="1"/>
              <w:bottom w:val="single" w:color="CCD6E6" w:sz="1"/>
              <w:right w:val="single" w:color="CCD6E6" w:sz="1"/>
            </w:tcBorders>
            <w:shd w:fill="1F3864" w:val="clear"/>
            <w:tcMar>
              <w:top w:type="dxa" w:w="70"/>
              <w:left w:type="dxa" w:w="130"/>
              <w:bottom w:type="dxa" w:w="70"/>
              <w:right w:type="dxa" w:w="130"/>
            </w:tcMar>
            <w:vAlign w:val="center"/>
          </w:tcPr>
          <w:p>
            <w:r>
              <w:rPr>
                <w:b/>
                <w:bCs/>
                <w:color w:val="FFFFFF"/>
                <w:sz w:val="19"/>
                <w:szCs w:val="19"/>
              </w:rPr>
              <w:t xml:space="preserve">Authority</w:t>
            </w:r>
          </w:p>
        </w:tc>
      </w:tr>
      <w:tr>
        <w:tc>
          <w:tcPr>
            <w:tcW w:type="dxa" w:w="6560"/>
            <w:tcBorders>
              <w:top w:val="single" w:color="CCD6E6" w:sz="1"/>
              <w:left w:val="single" w:color="CCD6E6" w:sz="1"/>
              <w:bottom w:val="single" w:color="CCD6E6" w:sz="1"/>
              <w:right w:val="single" w:color="CCD6E6" w:sz="1"/>
            </w:tcBorders>
            <w:tcMar>
              <w:top w:type="dxa" w:w="70"/>
              <w:left w:type="dxa" w:w="130"/>
              <w:bottom w:type="dxa" w:w="70"/>
              <w:right w:type="dxa" w:w="130"/>
            </w:tcMar>
            <w:vAlign w:val="center"/>
          </w:tcPr>
          <w:p>
            <w:r>
              <w:rPr>
                <w:b w:val="false"/>
                <w:bCs w:val="false"/>
                <w:color w:val="1B2430"/>
                <w:sz w:val="20"/>
                <w:szCs w:val="20"/>
              </w:rPr>
              <w:t xml:space="preserve">Enterprise data governance policy and standards</w:t>
            </w:r>
          </w:p>
        </w:tc>
        <w:tc>
          <w:tcPr>
            <w:tcW w:type="dxa" w:w="2800"/>
            <w:tcBorders>
              <w:top w:val="single" w:color="CCD6E6" w:sz="1"/>
              <w:left w:val="single" w:color="CCD6E6" w:sz="1"/>
              <w:bottom w:val="single" w:color="CCD6E6" w:sz="1"/>
              <w:right w:val="single" w:color="CCD6E6" w:sz="1"/>
            </w:tcBorders>
            <w:tcMar>
              <w:top w:type="dxa" w:w="70"/>
              <w:left w:type="dxa" w:w="130"/>
              <w:bottom w:type="dxa" w:w="70"/>
              <w:right w:type="dxa" w:w="130"/>
            </w:tcMar>
            <w:vAlign w:val="center"/>
          </w:tcPr>
          <w:p>
            <w:r>
              <w:rPr>
                <w:b/>
                <w:bCs/>
                <w:color w:val="1B2430"/>
                <w:sz w:val="20"/>
                <w:szCs w:val="20"/>
              </w:rPr>
              <w:t xml:space="preserve">Approve</w:t>
            </w:r>
          </w:p>
        </w:tc>
      </w:tr>
      <w:tr>
        <w:tc>
          <w:tcPr>
            <w:tcW w:type="dxa" w:w="6560"/>
            <w:tcBorders>
              <w:top w:val="single" w:color="CCD6E6" w:sz="1"/>
              <w:left w:val="single" w:color="CCD6E6" w:sz="1"/>
              <w:bottom w:val="single" w:color="CCD6E6" w:sz="1"/>
              <w:right w:val="single" w:color="CCD6E6" w:sz="1"/>
            </w:tcBorders>
            <w:shd w:fill="F5F8FC" w:val="clear"/>
            <w:tcMar>
              <w:top w:type="dxa" w:w="70"/>
              <w:left w:type="dxa" w:w="130"/>
              <w:bottom w:type="dxa" w:w="70"/>
              <w:right w:type="dxa" w:w="130"/>
            </w:tcMar>
            <w:vAlign w:val="center"/>
          </w:tcPr>
          <w:p>
            <w:r>
              <w:rPr>
                <w:b w:val="false"/>
                <w:bCs w:val="false"/>
                <w:color w:val="1B2430"/>
                <w:sz w:val="20"/>
                <w:szCs w:val="20"/>
              </w:rPr>
              <w:t xml:space="preserve">Data governance operating model and role mandates</w:t>
            </w:r>
          </w:p>
        </w:tc>
        <w:tc>
          <w:tcPr>
            <w:tcW w:type="dxa" w:w="2800"/>
            <w:tcBorders>
              <w:top w:val="single" w:color="CCD6E6" w:sz="1"/>
              <w:left w:val="single" w:color="CCD6E6" w:sz="1"/>
              <w:bottom w:val="single" w:color="CCD6E6" w:sz="1"/>
              <w:right w:val="single" w:color="CCD6E6" w:sz="1"/>
            </w:tcBorders>
            <w:shd w:fill="F5F8FC" w:val="clear"/>
            <w:tcMar>
              <w:top w:type="dxa" w:w="70"/>
              <w:left w:type="dxa" w:w="130"/>
              <w:bottom w:type="dxa" w:w="70"/>
              <w:right w:type="dxa" w:w="130"/>
            </w:tcMar>
            <w:vAlign w:val="center"/>
          </w:tcPr>
          <w:p>
            <w:r>
              <w:rPr>
                <w:b/>
                <w:bCs/>
                <w:color w:val="1B2430"/>
                <w:sz w:val="20"/>
                <w:szCs w:val="20"/>
              </w:rPr>
              <w:t xml:space="preserve">Approve</w:t>
            </w:r>
          </w:p>
        </w:tc>
      </w:tr>
      <w:tr>
        <w:tc>
          <w:tcPr>
            <w:tcW w:type="dxa" w:w="6560"/>
            <w:tcBorders>
              <w:top w:val="single" w:color="CCD6E6" w:sz="1"/>
              <w:left w:val="single" w:color="CCD6E6" w:sz="1"/>
              <w:bottom w:val="single" w:color="CCD6E6" w:sz="1"/>
              <w:right w:val="single" w:color="CCD6E6" w:sz="1"/>
            </w:tcBorders>
            <w:tcMar>
              <w:top w:type="dxa" w:w="70"/>
              <w:left w:type="dxa" w:w="130"/>
              <w:bottom w:type="dxa" w:w="70"/>
              <w:right w:type="dxa" w:w="130"/>
            </w:tcMar>
            <w:vAlign w:val="center"/>
          </w:tcPr>
          <w:p>
            <w:r>
              <w:rPr>
                <w:b w:val="false"/>
                <w:bCs w:val="false"/>
                <w:color w:val="1B2430"/>
                <w:sz w:val="20"/>
                <w:szCs w:val="20"/>
              </w:rPr>
              <w:t xml:space="preserve">Annual data-quality objectives and KPI targets</w:t>
            </w:r>
          </w:p>
        </w:tc>
        <w:tc>
          <w:tcPr>
            <w:tcW w:type="dxa" w:w="2800"/>
            <w:tcBorders>
              <w:top w:val="single" w:color="CCD6E6" w:sz="1"/>
              <w:left w:val="single" w:color="CCD6E6" w:sz="1"/>
              <w:bottom w:val="single" w:color="CCD6E6" w:sz="1"/>
              <w:right w:val="single" w:color="CCD6E6" w:sz="1"/>
            </w:tcBorders>
            <w:tcMar>
              <w:top w:type="dxa" w:w="70"/>
              <w:left w:type="dxa" w:w="130"/>
              <w:bottom w:type="dxa" w:w="70"/>
              <w:right w:type="dxa" w:w="130"/>
            </w:tcMar>
            <w:vAlign w:val="center"/>
          </w:tcPr>
          <w:p>
            <w:r>
              <w:rPr>
                <w:b/>
                <w:bCs/>
                <w:color w:val="1B2430"/>
                <w:sz w:val="20"/>
                <w:szCs w:val="20"/>
              </w:rPr>
              <w:t xml:space="preserve">Approve</w:t>
            </w:r>
          </w:p>
        </w:tc>
      </w:tr>
      <w:tr>
        <w:tc>
          <w:tcPr>
            <w:tcW w:type="dxa" w:w="6560"/>
            <w:tcBorders>
              <w:top w:val="single" w:color="CCD6E6" w:sz="1"/>
              <w:left w:val="single" w:color="CCD6E6" w:sz="1"/>
              <w:bottom w:val="single" w:color="CCD6E6" w:sz="1"/>
              <w:right w:val="single" w:color="CCD6E6" w:sz="1"/>
            </w:tcBorders>
            <w:shd w:fill="F5F8FC" w:val="clear"/>
            <w:tcMar>
              <w:top w:type="dxa" w:w="70"/>
              <w:left w:type="dxa" w:w="130"/>
              <w:bottom w:type="dxa" w:w="70"/>
              <w:right w:type="dxa" w:w="130"/>
            </w:tcMar>
            <w:vAlign w:val="center"/>
          </w:tcPr>
          <w:p>
            <w:r>
              <w:rPr>
                <w:b w:val="false"/>
                <w:bCs w:val="false"/>
                <w:color w:val="1B2430"/>
                <w:sz w:val="20"/>
                <w:szCs w:val="20"/>
              </w:rPr>
              <w:t xml:space="preserve">Funding and prioritisation of data initiatives and remediation</w:t>
            </w:r>
          </w:p>
        </w:tc>
        <w:tc>
          <w:tcPr>
            <w:tcW w:type="dxa" w:w="2800"/>
            <w:tcBorders>
              <w:top w:val="single" w:color="CCD6E6" w:sz="1"/>
              <w:left w:val="single" w:color="CCD6E6" w:sz="1"/>
              <w:bottom w:val="single" w:color="CCD6E6" w:sz="1"/>
              <w:right w:val="single" w:color="CCD6E6" w:sz="1"/>
            </w:tcBorders>
            <w:shd w:fill="F5F8FC" w:val="clear"/>
            <w:tcMar>
              <w:top w:type="dxa" w:w="70"/>
              <w:left w:type="dxa" w:w="130"/>
              <w:bottom w:type="dxa" w:w="70"/>
              <w:right w:type="dxa" w:w="130"/>
            </w:tcMar>
            <w:vAlign w:val="center"/>
          </w:tcPr>
          <w:p>
            <w:r>
              <w:rPr>
                <w:b/>
                <w:bCs/>
                <w:color w:val="1B2430"/>
                <w:sz w:val="20"/>
                <w:szCs w:val="20"/>
              </w:rPr>
              <w:t xml:space="preserve">Approve</w:t>
            </w:r>
          </w:p>
        </w:tc>
      </w:tr>
      <w:tr>
        <w:tc>
          <w:tcPr>
            <w:tcW w:type="dxa" w:w="6560"/>
            <w:tcBorders>
              <w:top w:val="single" w:color="CCD6E6" w:sz="1"/>
              <w:left w:val="single" w:color="CCD6E6" w:sz="1"/>
              <w:bottom w:val="single" w:color="CCD6E6" w:sz="1"/>
              <w:right w:val="single" w:color="CCD6E6" w:sz="1"/>
            </w:tcBorders>
            <w:tcMar>
              <w:top w:type="dxa" w:w="70"/>
              <w:left w:type="dxa" w:w="130"/>
              <w:bottom w:type="dxa" w:w="70"/>
              <w:right w:type="dxa" w:w="130"/>
            </w:tcMar>
            <w:vAlign w:val="center"/>
          </w:tcPr>
          <w:p>
            <w:r>
              <w:rPr>
                <w:b w:val="false"/>
                <w:bCs w:val="false"/>
                <w:color w:val="1B2430"/>
                <w:sz w:val="20"/>
                <w:szCs w:val="20"/>
              </w:rPr>
              <w:t xml:space="preserve">Cross-domain data issues escalated by working groups</w:t>
            </w:r>
          </w:p>
        </w:tc>
        <w:tc>
          <w:tcPr>
            <w:tcW w:type="dxa" w:w="2800"/>
            <w:tcBorders>
              <w:top w:val="single" w:color="CCD6E6" w:sz="1"/>
              <w:left w:val="single" w:color="CCD6E6" w:sz="1"/>
              <w:bottom w:val="single" w:color="CCD6E6" w:sz="1"/>
              <w:right w:val="single" w:color="CCD6E6" w:sz="1"/>
            </w:tcBorders>
            <w:tcMar>
              <w:top w:type="dxa" w:w="70"/>
              <w:left w:type="dxa" w:w="130"/>
              <w:bottom w:type="dxa" w:w="70"/>
              <w:right w:type="dxa" w:w="130"/>
            </w:tcMar>
            <w:vAlign w:val="center"/>
          </w:tcPr>
          <w:p>
            <w:r>
              <w:rPr>
                <w:b/>
                <w:bCs/>
                <w:color w:val="1B2430"/>
                <w:sz w:val="20"/>
                <w:szCs w:val="20"/>
              </w:rPr>
              <w:t xml:space="preserve">Arbitrate</w:t>
            </w:r>
          </w:p>
        </w:tc>
      </w:tr>
      <w:tr>
        <w:tc>
          <w:tcPr>
            <w:tcW w:type="dxa" w:w="6560"/>
            <w:tcBorders>
              <w:top w:val="single" w:color="CCD6E6" w:sz="1"/>
              <w:left w:val="single" w:color="CCD6E6" w:sz="1"/>
              <w:bottom w:val="single" w:color="CCD6E6" w:sz="1"/>
              <w:right w:val="single" w:color="CCD6E6" w:sz="1"/>
            </w:tcBorders>
            <w:shd w:fill="F5F8FC" w:val="clear"/>
            <w:tcMar>
              <w:top w:type="dxa" w:w="70"/>
              <w:left w:type="dxa" w:w="130"/>
              <w:bottom w:type="dxa" w:w="70"/>
              <w:right w:type="dxa" w:w="130"/>
            </w:tcMar>
            <w:vAlign w:val="center"/>
          </w:tcPr>
          <w:p>
            <w:r>
              <w:rPr>
                <w:b w:val="false"/>
                <w:bCs w:val="false"/>
                <w:color w:val="1B2430"/>
                <w:sz w:val="20"/>
                <w:szCs w:val="20"/>
              </w:rPr>
              <w:t xml:space="preserve">Data classification and access-control exceptions</w:t>
            </w:r>
          </w:p>
        </w:tc>
        <w:tc>
          <w:tcPr>
            <w:tcW w:type="dxa" w:w="2800"/>
            <w:tcBorders>
              <w:top w:val="single" w:color="CCD6E6" w:sz="1"/>
              <w:left w:val="single" w:color="CCD6E6" w:sz="1"/>
              <w:bottom w:val="single" w:color="CCD6E6" w:sz="1"/>
              <w:right w:val="single" w:color="CCD6E6" w:sz="1"/>
            </w:tcBorders>
            <w:shd w:fill="F5F8FC" w:val="clear"/>
            <w:tcMar>
              <w:top w:type="dxa" w:w="70"/>
              <w:left w:type="dxa" w:w="130"/>
              <w:bottom w:type="dxa" w:w="70"/>
              <w:right w:type="dxa" w:w="130"/>
            </w:tcMar>
            <w:vAlign w:val="center"/>
          </w:tcPr>
          <w:p>
            <w:r>
              <w:rPr>
                <w:b/>
                <w:bCs/>
                <w:color w:val="1B2430"/>
                <w:sz w:val="20"/>
                <w:szCs w:val="20"/>
              </w:rPr>
              <w:t xml:space="preserve">Recommend</w:t>
            </w:r>
          </w:p>
        </w:tc>
      </w:tr>
      <w:tr>
        <w:tc>
          <w:tcPr>
            <w:tcW w:type="dxa" w:w="6560"/>
            <w:tcBorders>
              <w:top w:val="single" w:color="CCD6E6" w:sz="1"/>
              <w:left w:val="single" w:color="CCD6E6" w:sz="1"/>
              <w:bottom w:val="single" w:color="CCD6E6" w:sz="1"/>
              <w:right w:val="single" w:color="CCD6E6" w:sz="1"/>
            </w:tcBorders>
            <w:tcMar>
              <w:top w:type="dxa" w:w="70"/>
              <w:left w:type="dxa" w:w="130"/>
              <w:bottom w:type="dxa" w:w="70"/>
              <w:right w:type="dxa" w:w="130"/>
            </w:tcMar>
            <w:vAlign w:val="center"/>
          </w:tcPr>
          <w:p>
            <w:r>
              <w:rPr>
                <w:b w:val="false"/>
                <w:bCs w:val="false"/>
                <w:color w:val="1B2430"/>
                <w:sz w:val="20"/>
                <w:szCs w:val="20"/>
              </w:rPr>
              <w:t xml:space="preserve">Regulatory and audit findings on data (e.g. BCBS 239)</w:t>
            </w:r>
          </w:p>
        </w:tc>
        <w:tc>
          <w:tcPr>
            <w:tcW w:type="dxa" w:w="2800"/>
            <w:tcBorders>
              <w:top w:val="single" w:color="CCD6E6" w:sz="1"/>
              <w:left w:val="single" w:color="CCD6E6" w:sz="1"/>
              <w:bottom w:val="single" w:color="CCD6E6" w:sz="1"/>
              <w:right w:val="single" w:color="CCD6E6" w:sz="1"/>
            </w:tcBorders>
            <w:tcMar>
              <w:top w:type="dxa" w:w="70"/>
              <w:left w:type="dxa" w:w="130"/>
              <w:bottom w:type="dxa" w:w="70"/>
              <w:right w:type="dxa" w:w="130"/>
            </w:tcMar>
            <w:vAlign w:val="center"/>
          </w:tcPr>
          <w:p>
            <w:r>
              <w:rPr>
                <w:b/>
                <w:bCs/>
                <w:color w:val="1B2430"/>
                <w:sz w:val="20"/>
                <w:szCs w:val="20"/>
              </w:rPr>
              <w:t xml:space="preserve">Informed</w:t>
            </w:r>
          </w:p>
        </w:tc>
      </w:tr>
    </w:tbl>
    <w:p>
      <w:pPr>
        <w:pStyle w:val="Heading1"/>
      </w:pPr>
      <w:r>
        <w:rPr>
          <w:color w:val="1F3864"/>
        </w:rPr>
        <w:t xml:space="preserve">3. Composition and membership</w:t>
      </w:r>
    </w:p>
    <w:p>
      <w:pPr>
        <w:spacing w:after="120"/>
      </w:pPr>
      <w:r>
        <w:t xml:space="preserve">The Council is chaired by the Chief Data Officer and brings together the accountable Data Owners for each domain with the specialist governance functions. Members may send a briefed delegate but remain accountable for their domain.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400"/>
        <w:gridCol w:w="3960"/>
        <w:gridCol w:w="2000"/>
      </w:tblGrid>
      <w:tr>
        <w:tc>
          <w:tcPr>
            <w:tcW w:type="dxa" w:w="3400"/>
            <w:tcBorders>
              <w:top w:val="single" w:color="CCD6E6" w:sz="1"/>
              <w:left w:val="single" w:color="CCD6E6" w:sz="1"/>
              <w:bottom w:val="single" w:color="CCD6E6" w:sz="1"/>
              <w:right w:val="single" w:color="CCD6E6" w:sz="1"/>
            </w:tcBorders>
            <w:shd w:fill="1F3864" w:val="clear"/>
            <w:tcMar>
              <w:top w:type="dxa" w:w="70"/>
              <w:left w:type="dxa" w:w="130"/>
              <w:bottom w:type="dxa" w:w="70"/>
              <w:right w:type="dxa" w:w="130"/>
            </w:tcMar>
            <w:vAlign w:val="center"/>
          </w:tcPr>
          <w:p>
            <w:r>
              <w:rPr>
                <w:b/>
                <w:bCs/>
                <w:color w:val="FFFFFF"/>
                <w:sz w:val="19"/>
                <w:szCs w:val="19"/>
              </w:rPr>
              <w:t xml:space="preserve">Role on the Council</w:t>
            </w:r>
          </w:p>
        </w:tc>
        <w:tc>
          <w:tcPr>
            <w:tcW w:type="dxa" w:w="3960"/>
            <w:tcBorders>
              <w:top w:val="single" w:color="CCD6E6" w:sz="1"/>
              <w:left w:val="single" w:color="CCD6E6" w:sz="1"/>
              <w:bottom w:val="single" w:color="CCD6E6" w:sz="1"/>
              <w:right w:val="single" w:color="CCD6E6" w:sz="1"/>
            </w:tcBorders>
            <w:shd w:fill="1F3864" w:val="clear"/>
            <w:tcMar>
              <w:top w:type="dxa" w:w="70"/>
              <w:left w:type="dxa" w:w="130"/>
              <w:bottom w:type="dxa" w:w="70"/>
              <w:right w:type="dxa" w:w="130"/>
            </w:tcMar>
            <w:vAlign w:val="center"/>
          </w:tcPr>
          <w:p>
            <w:r>
              <w:rPr>
                <w:b/>
                <w:bCs/>
                <w:color w:val="FFFFFF"/>
                <w:sz w:val="19"/>
                <w:szCs w:val="19"/>
              </w:rPr>
              <w:t xml:space="preserve">Held by</w:t>
            </w:r>
          </w:p>
        </w:tc>
        <w:tc>
          <w:tcPr>
            <w:tcW w:type="dxa" w:w="2000"/>
            <w:tcBorders>
              <w:top w:val="single" w:color="CCD6E6" w:sz="1"/>
              <w:left w:val="single" w:color="CCD6E6" w:sz="1"/>
              <w:bottom w:val="single" w:color="CCD6E6" w:sz="1"/>
              <w:right w:val="single" w:color="CCD6E6" w:sz="1"/>
            </w:tcBorders>
            <w:shd w:fill="1F3864" w:val="clear"/>
            <w:tcMar>
              <w:top w:type="dxa" w:w="70"/>
              <w:left w:type="dxa" w:w="130"/>
              <w:bottom w:type="dxa" w:w="70"/>
              <w:right w:type="dxa" w:w="130"/>
            </w:tcMar>
            <w:vAlign w:val="center"/>
          </w:tcPr>
          <w:p>
            <w:r>
              <w:rPr>
                <w:b/>
                <w:bCs/>
                <w:color w:val="FFFFFF"/>
                <w:sz w:val="19"/>
                <w:szCs w:val="19"/>
              </w:rPr>
              <w:t xml:space="preserve">Vote</w:t>
            </w:r>
          </w:p>
        </w:tc>
      </w:tr>
      <w:tr>
        <w:tc>
          <w:tcPr>
            <w:tcW w:type="dxa" w:w="3400"/>
            <w:tcBorders>
              <w:top w:val="single" w:color="CCD6E6" w:sz="1"/>
              <w:left w:val="single" w:color="CCD6E6" w:sz="1"/>
              <w:bottom w:val="single" w:color="CCD6E6" w:sz="1"/>
              <w:right w:val="single" w:color="CCD6E6" w:sz="1"/>
            </w:tcBorders>
            <w:tcMar>
              <w:top w:type="dxa" w:w="70"/>
              <w:left w:type="dxa" w:w="130"/>
              <w:bottom w:type="dxa" w:w="70"/>
              <w:right w:type="dxa" w:w="130"/>
            </w:tcMar>
            <w:vAlign w:val="center"/>
          </w:tcPr>
          <w:p>
            <w:r>
              <w:rPr>
                <w:b/>
                <w:bCs/>
                <w:color w:val="1B2430"/>
                <w:sz w:val="20"/>
                <w:szCs w:val="20"/>
              </w:rPr>
              <w:t xml:space="preserve">Chair</w:t>
            </w:r>
          </w:p>
        </w:tc>
        <w:tc>
          <w:tcPr>
            <w:tcW w:type="dxa" w:w="3960"/>
            <w:tcBorders>
              <w:top w:val="single" w:color="CCD6E6" w:sz="1"/>
              <w:left w:val="single" w:color="CCD6E6" w:sz="1"/>
              <w:bottom w:val="single" w:color="CCD6E6" w:sz="1"/>
              <w:right w:val="single" w:color="CCD6E6" w:sz="1"/>
            </w:tcBorders>
            <w:tcMar>
              <w:top w:type="dxa" w:w="70"/>
              <w:left w:type="dxa" w:w="130"/>
              <w:bottom w:type="dxa" w:w="70"/>
              <w:right w:type="dxa" w:w="130"/>
            </w:tcMar>
            <w:vAlign w:val="center"/>
          </w:tcPr>
          <w:p>
            <w:r>
              <w:rPr>
                <w:b w:val="false"/>
                <w:bCs w:val="false"/>
                <w:color w:val="1B2430"/>
                <w:sz w:val="20"/>
                <w:szCs w:val="20"/>
              </w:rPr>
              <w:t xml:space="preserve">Chief Data Officer</w:t>
            </w:r>
          </w:p>
        </w:tc>
        <w:tc>
          <w:tcPr>
            <w:tcW w:type="dxa" w:w="2000"/>
            <w:tcBorders>
              <w:top w:val="single" w:color="CCD6E6" w:sz="1"/>
              <w:left w:val="single" w:color="CCD6E6" w:sz="1"/>
              <w:bottom w:val="single" w:color="CCD6E6" w:sz="1"/>
              <w:right w:val="single" w:color="CCD6E6" w:sz="1"/>
            </w:tcBorders>
            <w:tcMar>
              <w:top w:type="dxa" w:w="70"/>
              <w:left w:type="dxa" w:w="130"/>
              <w:bottom w:type="dxa" w:w="70"/>
              <w:right w:type="dxa" w:w="130"/>
            </w:tcMar>
            <w:vAlign w:val="center"/>
          </w:tcPr>
          <w:p>
            <w:r>
              <w:rPr>
                <w:b w:val="false"/>
                <w:bCs w:val="false"/>
                <w:color w:val="1B2430"/>
                <w:sz w:val="20"/>
                <w:szCs w:val="20"/>
              </w:rPr>
              <w:t xml:space="preserve">Deciding</w:t>
            </w:r>
          </w:p>
        </w:tc>
      </w:tr>
      <w:tr>
        <w:tc>
          <w:tcPr>
            <w:tcW w:type="dxa" w:w="3400"/>
            <w:tcBorders>
              <w:top w:val="single" w:color="CCD6E6" w:sz="1"/>
              <w:left w:val="single" w:color="CCD6E6" w:sz="1"/>
              <w:bottom w:val="single" w:color="CCD6E6" w:sz="1"/>
              <w:right w:val="single" w:color="CCD6E6" w:sz="1"/>
            </w:tcBorders>
            <w:shd w:fill="F5F8FC" w:val="clear"/>
            <w:tcMar>
              <w:top w:type="dxa" w:w="70"/>
              <w:left w:type="dxa" w:w="130"/>
              <w:bottom w:type="dxa" w:w="70"/>
              <w:right w:type="dxa" w:w="130"/>
            </w:tcMar>
            <w:vAlign w:val="center"/>
          </w:tcPr>
          <w:p>
            <w:r>
              <w:rPr>
                <w:b/>
                <w:bCs/>
                <w:color w:val="1B2430"/>
                <w:sz w:val="20"/>
                <w:szCs w:val="20"/>
              </w:rPr>
              <w:t xml:space="preserve">Data Owner — Customer</w:t>
            </w:r>
          </w:p>
        </w:tc>
        <w:tc>
          <w:tcPr>
            <w:tcW w:type="dxa" w:w="3960"/>
            <w:tcBorders>
              <w:top w:val="single" w:color="CCD6E6" w:sz="1"/>
              <w:left w:val="single" w:color="CCD6E6" w:sz="1"/>
              <w:bottom w:val="single" w:color="CCD6E6" w:sz="1"/>
              <w:right w:val="single" w:color="CCD6E6" w:sz="1"/>
            </w:tcBorders>
            <w:shd w:fill="F5F8FC" w:val="clear"/>
            <w:tcMar>
              <w:top w:type="dxa" w:w="70"/>
              <w:left w:type="dxa" w:w="130"/>
              <w:bottom w:type="dxa" w:w="70"/>
              <w:right w:type="dxa" w:w="130"/>
            </w:tcMar>
            <w:vAlign w:val="center"/>
          </w:tcPr>
          <w:p>
            <w:r>
              <w:rPr>
                <w:b w:val="false"/>
                <w:bCs w:val="false"/>
                <w:color w:val="1B2430"/>
                <w:sz w:val="20"/>
                <w:szCs w:val="20"/>
              </w:rPr>
              <w:t xml:space="preserve">Head of Client Data</w:t>
            </w:r>
          </w:p>
        </w:tc>
        <w:tc>
          <w:tcPr>
            <w:tcW w:type="dxa" w:w="2000"/>
            <w:tcBorders>
              <w:top w:val="single" w:color="CCD6E6" w:sz="1"/>
              <w:left w:val="single" w:color="CCD6E6" w:sz="1"/>
              <w:bottom w:val="single" w:color="CCD6E6" w:sz="1"/>
              <w:right w:val="single" w:color="CCD6E6" w:sz="1"/>
            </w:tcBorders>
            <w:shd w:fill="F5F8FC" w:val="clear"/>
            <w:tcMar>
              <w:top w:type="dxa" w:w="70"/>
              <w:left w:type="dxa" w:w="130"/>
              <w:bottom w:type="dxa" w:w="70"/>
              <w:right w:type="dxa" w:w="130"/>
            </w:tcMar>
            <w:vAlign w:val="center"/>
          </w:tcPr>
          <w:p>
            <w:r>
              <w:rPr>
                <w:b w:val="false"/>
                <w:bCs w:val="false"/>
                <w:color w:val="1B2430"/>
                <w:sz w:val="20"/>
                <w:szCs w:val="20"/>
              </w:rPr>
              <w:t xml:space="preserve">Yes</w:t>
            </w:r>
          </w:p>
        </w:tc>
      </w:tr>
      <w:tr>
        <w:tc>
          <w:tcPr>
            <w:tcW w:type="dxa" w:w="3400"/>
            <w:tcBorders>
              <w:top w:val="single" w:color="CCD6E6" w:sz="1"/>
              <w:left w:val="single" w:color="CCD6E6" w:sz="1"/>
              <w:bottom w:val="single" w:color="CCD6E6" w:sz="1"/>
              <w:right w:val="single" w:color="CCD6E6" w:sz="1"/>
            </w:tcBorders>
            <w:tcMar>
              <w:top w:type="dxa" w:w="70"/>
              <w:left w:type="dxa" w:w="130"/>
              <w:bottom w:type="dxa" w:w="70"/>
              <w:right w:type="dxa" w:w="130"/>
            </w:tcMar>
            <w:vAlign w:val="center"/>
          </w:tcPr>
          <w:p>
            <w:r>
              <w:rPr>
                <w:b/>
                <w:bCs/>
                <w:color w:val="1B2430"/>
                <w:sz w:val="20"/>
                <w:szCs w:val="20"/>
              </w:rPr>
              <w:t xml:space="preserve">Data Owner — Finance</w:t>
            </w:r>
          </w:p>
        </w:tc>
        <w:tc>
          <w:tcPr>
            <w:tcW w:type="dxa" w:w="3960"/>
            <w:tcBorders>
              <w:top w:val="single" w:color="CCD6E6" w:sz="1"/>
              <w:left w:val="single" w:color="CCD6E6" w:sz="1"/>
              <w:bottom w:val="single" w:color="CCD6E6" w:sz="1"/>
              <w:right w:val="single" w:color="CCD6E6" w:sz="1"/>
            </w:tcBorders>
            <w:tcMar>
              <w:top w:type="dxa" w:w="70"/>
              <w:left w:type="dxa" w:w="130"/>
              <w:bottom w:type="dxa" w:w="70"/>
              <w:right w:type="dxa" w:w="130"/>
            </w:tcMar>
            <w:vAlign w:val="center"/>
          </w:tcPr>
          <w:p>
            <w:r>
              <w:rPr>
                <w:b w:val="false"/>
                <w:bCs w:val="false"/>
                <w:color w:val="1B2430"/>
                <w:sz w:val="20"/>
                <w:szCs w:val="20"/>
              </w:rPr>
              <w:t xml:space="preserve">Head of Finance Data</w:t>
            </w:r>
          </w:p>
        </w:tc>
        <w:tc>
          <w:tcPr>
            <w:tcW w:type="dxa" w:w="2000"/>
            <w:tcBorders>
              <w:top w:val="single" w:color="CCD6E6" w:sz="1"/>
              <w:left w:val="single" w:color="CCD6E6" w:sz="1"/>
              <w:bottom w:val="single" w:color="CCD6E6" w:sz="1"/>
              <w:right w:val="single" w:color="CCD6E6" w:sz="1"/>
            </w:tcBorders>
            <w:tcMar>
              <w:top w:type="dxa" w:w="70"/>
              <w:left w:type="dxa" w:w="130"/>
              <w:bottom w:type="dxa" w:w="70"/>
              <w:right w:type="dxa" w:w="130"/>
            </w:tcMar>
            <w:vAlign w:val="center"/>
          </w:tcPr>
          <w:p>
            <w:r>
              <w:rPr>
                <w:b w:val="false"/>
                <w:bCs w:val="false"/>
                <w:color w:val="1B2430"/>
                <w:sz w:val="20"/>
                <w:szCs w:val="20"/>
              </w:rPr>
              <w:t xml:space="preserve">Yes</w:t>
            </w:r>
          </w:p>
        </w:tc>
      </w:tr>
      <w:tr>
        <w:tc>
          <w:tcPr>
            <w:tcW w:type="dxa" w:w="3400"/>
            <w:tcBorders>
              <w:top w:val="single" w:color="CCD6E6" w:sz="1"/>
              <w:left w:val="single" w:color="CCD6E6" w:sz="1"/>
              <w:bottom w:val="single" w:color="CCD6E6" w:sz="1"/>
              <w:right w:val="single" w:color="CCD6E6" w:sz="1"/>
            </w:tcBorders>
            <w:shd w:fill="F5F8FC" w:val="clear"/>
            <w:tcMar>
              <w:top w:type="dxa" w:w="70"/>
              <w:left w:type="dxa" w:w="130"/>
              <w:bottom w:type="dxa" w:w="70"/>
              <w:right w:type="dxa" w:w="130"/>
            </w:tcMar>
            <w:vAlign w:val="center"/>
          </w:tcPr>
          <w:p>
            <w:r>
              <w:rPr>
                <w:b/>
                <w:bCs/>
                <w:color w:val="1B2430"/>
                <w:sz w:val="20"/>
                <w:szCs w:val="20"/>
              </w:rPr>
              <w:t xml:space="preserve">Data Owner — Risk</w:t>
            </w:r>
          </w:p>
        </w:tc>
        <w:tc>
          <w:tcPr>
            <w:tcW w:type="dxa" w:w="3960"/>
            <w:tcBorders>
              <w:top w:val="single" w:color="CCD6E6" w:sz="1"/>
              <w:left w:val="single" w:color="CCD6E6" w:sz="1"/>
              <w:bottom w:val="single" w:color="CCD6E6" w:sz="1"/>
              <w:right w:val="single" w:color="CCD6E6" w:sz="1"/>
            </w:tcBorders>
            <w:shd w:fill="F5F8FC" w:val="clear"/>
            <w:tcMar>
              <w:top w:type="dxa" w:w="70"/>
              <w:left w:type="dxa" w:w="130"/>
              <w:bottom w:type="dxa" w:w="70"/>
              <w:right w:type="dxa" w:w="130"/>
            </w:tcMar>
            <w:vAlign w:val="center"/>
          </w:tcPr>
          <w:p>
            <w:r>
              <w:rPr>
                <w:b w:val="false"/>
                <w:bCs w:val="false"/>
                <w:color w:val="1B2430"/>
                <w:sz w:val="20"/>
                <w:szCs w:val="20"/>
              </w:rPr>
              <w:t xml:space="preserve">Head of Risk Data</w:t>
            </w:r>
          </w:p>
        </w:tc>
        <w:tc>
          <w:tcPr>
            <w:tcW w:type="dxa" w:w="2000"/>
            <w:tcBorders>
              <w:top w:val="single" w:color="CCD6E6" w:sz="1"/>
              <w:left w:val="single" w:color="CCD6E6" w:sz="1"/>
              <w:bottom w:val="single" w:color="CCD6E6" w:sz="1"/>
              <w:right w:val="single" w:color="CCD6E6" w:sz="1"/>
            </w:tcBorders>
            <w:shd w:fill="F5F8FC" w:val="clear"/>
            <w:tcMar>
              <w:top w:type="dxa" w:w="70"/>
              <w:left w:type="dxa" w:w="130"/>
              <w:bottom w:type="dxa" w:w="70"/>
              <w:right w:type="dxa" w:w="130"/>
            </w:tcMar>
            <w:vAlign w:val="center"/>
          </w:tcPr>
          <w:p>
            <w:r>
              <w:rPr>
                <w:b w:val="false"/>
                <w:bCs w:val="false"/>
                <w:color w:val="1B2430"/>
                <w:sz w:val="20"/>
                <w:szCs w:val="20"/>
              </w:rPr>
              <w:t xml:space="preserve">Yes</w:t>
            </w:r>
          </w:p>
        </w:tc>
      </w:tr>
      <w:tr>
        <w:tc>
          <w:tcPr>
            <w:tcW w:type="dxa" w:w="3400"/>
            <w:tcBorders>
              <w:top w:val="single" w:color="CCD6E6" w:sz="1"/>
              <w:left w:val="single" w:color="CCD6E6" w:sz="1"/>
              <w:bottom w:val="single" w:color="CCD6E6" w:sz="1"/>
              <w:right w:val="single" w:color="CCD6E6" w:sz="1"/>
            </w:tcBorders>
            <w:tcMar>
              <w:top w:type="dxa" w:w="70"/>
              <w:left w:type="dxa" w:w="130"/>
              <w:bottom w:type="dxa" w:w="70"/>
              <w:right w:type="dxa" w:w="130"/>
            </w:tcMar>
            <w:vAlign w:val="center"/>
          </w:tcPr>
          <w:p>
            <w:r>
              <w:rPr>
                <w:b/>
                <w:bCs/>
                <w:color w:val="1B2430"/>
                <w:sz w:val="20"/>
                <w:szCs w:val="20"/>
              </w:rPr>
              <w:t xml:space="preserve">Data Owner — Product</w:t>
            </w:r>
          </w:p>
        </w:tc>
        <w:tc>
          <w:tcPr>
            <w:tcW w:type="dxa" w:w="3960"/>
            <w:tcBorders>
              <w:top w:val="single" w:color="CCD6E6" w:sz="1"/>
              <w:left w:val="single" w:color="CCD6E6" w:sz="1"/>
              <w:bottom w:val="single" w:color="CCD6E6" w:sz="1"/>
              <w:right w:val="single" w:color="CCD6E6" w:sz="1"/>
            </w:tcBorders>
            <w:tcMar>
              <w:top w:type="dxa" w:w="70"/>
              <w:left w:type="dxa" w:w="130"/>
              <w:bottom w:type="dxa" w:w="70"/>
              <w:right w:type="dxa" w:w="130"/>
            </w:tcMar>
            <w:vAlign w:val="center"/>
          </w:tcPr>
          <w:p>
            <w:r>
              <w:rPr>
                <w:b w:val="false"/>
                <w:bCs w:val="false"/>
                <w:color w:val="1B2430"/>
                <w:sz w:val="20"/>
                <w:szCs w:val="20"/>
              </w:rPr>
              <w:t xml:space="preserve">Head of Product Data</w:t>
            </w:r>
          </w:p>
        </w:tc>
        <w:tc>
          <w:tcPr>
            <w:tcW w:type="dxa" w:w="2000"/>
            <w:tcBorders>
              <w:top w:val="single" w:color="CCD6E6" w:sz="1"/>
              <w:left w:val="single" w:color="CCD6E6" w:sz="1"/>
              <w:bottom w:val="single" w:color="CCD6E6" w:sz="1"/>
              <w:right w:val="single" w:color="CCD6E6" w:sz="1"/>
            </w:tcBorders>
            <w:tcMar>
              <w:top w:type="dxa" w:w="70"/>
              <w:left w:type="dxa" w:w="130"/>
              <w:bottom w:type="dxa" w:w="70"/>
              <w:right w:type="dxa" w:w="130"/>
            </w:tcMar>
            <w:vAlign w:val="center"/>
          </w:tcPr>
          <w:p>
            <w:r>
              <w:rPr>
                <w:b w:val="false"/>
                <w:bCs w:val="false"/>
                <w:color w:val="1B2430"/>
                <w:sz w:val="20"/>
                <w:szCs w:val="20"/>
              </w:rPr>
              <w:t xml:space="preserve">Yes</w:t>
            </w:r>
          </w:p>
        </w:tc>
      </w:tr>
      <w:tr>
        <w:tc>
          <w:tcPr>
            <w:tcW w:type="dxa" w:w="3400"/>
            <w:tcBorders>
              <w:top w:val="single" w:color="CCD6E6" w:sz="1"/>
              <w:left w:val="single" w:color="CCD6E6" w:sz="1"/>
              <w:bottom w:val="single" w:color="CCD6E6" w:sz="1"/>
              <w:right w:val="single" w:color="CCD6E6" w:sz="1"/>
            </w:tcBorders>
            <w:shd w:fill="F5F8FC" w:val="clear"/>
            <w:tcMar>
              <w:top w:type="dxa" w:w="70"/>
              <w:left w:type="dxa" w:w="130"/>
              <w:bottom w:type="dxa" w:w="70"/>
              <w:right w:type="dxa" w:w="130"/>
            </w:tcMar>
            <w:vAlign w:val="center"/>
          </w:tcPr>
          <w:p>
            <w:r>
              <w:rPr>
                <w:b/>
                <w:bCs/>
                <w:color w:val="1B2430"/>
                <w:sz w:val="20"/>
                <w:szCs w:val="20"/>
              </w:rPr>
              <w:t xml:space="preserve">Head of Data Quality</w:t>
            </w:r>
          </w:p>
        </w:tc>
        <w:tc>
          <w:tcPr>
            <w:tcW w:type="dxa" w:w="3960"/>
            <w:tcBorders>
              <w:top w:val="single" w:color="CCD6E6" w:sz="1"/>
              <w:left w:val="single" w:color="CCD6E6" w:sz="1"/>
              <w:bottom w:val="single" w:color="CCD6E6" w:sz="1"/>
              <w:right w:val="single" w:color="CCD6E6" w:sz="1"/>
            </w:tcBorders>
            <w:shd w:fill="F5F8FC" w:val="clear"/>
            <w:tcMar>
              <w:top w:type="dxa" w:w="70"/>
              <w:left w:type="dxa" w:w="130"/>
              <w:bottom w:type="dxa" w:w="70"/>
              <w:right w:type="dxa" w:w="130"/>
            </w:tcMar>
            <w:vAlign w:val="center"/>
          </w:tcPr>
          <w:p>
            <w:r>
              <w:rPr>
                <w:b w:val="false"/>
                <w:bCs w:val="false"/>
                <w:color w:val="1B2430"/>
                <w:sz w:val="20"/>
                <w:szCs w:val="20"/>
              </w:rPr>
              <w:t xml:space="preserve">DQ Lead</w:t>
            </w:r>
          </w:p>
        </w:tc>
        <w:tc>
          <w:tcPr>
            <w:tcW w:type="dxa" w:w="2000"/>
            <w:tcBorders>
              <w:top w:val="single" w:color="CCD6E6" w:sz="1"/>
              <w:left w:val="single" w:color="CCD6E6" w:sz="1"/>
              <w:bottom w:val="single" w:color="CCD6E6" w:sz="1"/>
              <w:right w:val="single" w:color="CCD6E6" w:sz="1"/>
            </w:tcBorders>
            <w:shd w:fill="F5F8FC" w:val="clear"/>
            <w:tcMar>
              <w:top w:type="dxa" w:w="70"/>
              <w:left w:type="dxa" w:w="130"/>
              <w:bottom w:type="dxa" w:w="70"/>
              <w:right w:type="dxa" w:w="130"/>
            </w:tcMar>
            <w:vAlign w:val="center"/>
          </w:tcPr>
          <w:p>
            <w:r>
              <w:rPr>
                <w:b w:val="false"/>
                <w:bCs w:val="false"/>
                <w:color w:val="1B2430"/>
                <w:sz w:val="20"/>
                <w:szCs w:val="20"/>
              </w:rPr>
              <w:t xml:space="preserve">Yes</w:t>
            </w:r>
          </w:p>
        </w:tc>
      </w:tr>
      <w:tr>
        <w:tc>
          <w:tcPr>
            <w:tcW w:type="dxa" w:w="3400"/>
            <w:tcBorders>
              <w:top w:val="single" w:color="CCD6E6" w:sz="1"/>
              <w:left w:val="single" w:color="CCD6E6" w:sz="1"/>
              <w:bottom w:val="single" w:color="CCD6E6" w:sz="1"/>
              <w:right w:val="single" w:color="CCD6E6" w:sz="1"/>
            </w:tcBorders>
            <w:tcMar>
              <w:top w:type="dxa" w:w="70"/>
              <w:left w:type="dxa" w:w="130"/>
              <w:bottom w:type="dxa" w:w="70"/>
              <w:right w:type="dxa" w:w="130"/>
            </w:tcMar>
            <w:vAlign w:val="center"/>
          </w:tcPr>
          <w:p>
            <w:r>
              <w:rPr>
                <w:b/>
                <w:bCs/>
                <w:color w:val="1B2430"/>
                <w:sz w:val="20"/>
                <w:szCs w:val="20"/>
              </w:rPr>
              <w:t xml:space="preserve">Data Protection Officer</w:t>
            </w:r>
          </w:p>
        </w:tc>
        <w:tc>
          <w:tcPr>
            <w:tcW w:type="dxa" w:w="3960"/>
            <w:tcBorders>
              <w:top w:val="single" w:color="CCD6E6" w:sz="1"/>
              <w:left w:val="single" w:color="CCD6E6" w:sz="1"/>
              <w:bottom w:val="single" w:color="CCD6E6" w:sz="1"/>
              <w:right w:val="single" w:color="CCD6E6" w:sz="1"/>
            </w:tcBorders>
            <w:tcMar>
              <w:top w:type="dxa" w:w="70"/>
              <w:left w:type="dxa" w:w="130"/>
              <w:bottom w:type="dxa" w:w="70"/>
              <w:right w:type="dxa" w:w="130"/>
            </w:tcMar>
            <w:vAlign w:val="center"/>
          </w:tcPr>
          <w:p>
            <w:r>
              <w:rPr>
                <w:b w:val="false"/>
                <w:bCs w:val="false"/>
                <w:color w:val="1B2430"/>
                <w:sz w:val="20"/>
                <w:szCs w:val="20"/>
              </w:rPr>
              <w:t xml:space="preserve">Group DPO</w:t>
            </w:r>
          </w:p>
        </w:tc>
        <w:tc>
          <w:tcPr>
            <w:tcW w:type="dxa" w:w="2000"/>
            <w:tcBorders>
              <w:top w:val="single" w:color="CCD6E6" w:sz="1"/>
              <w:left w:val="single" w:color="CCD6E6" w:sz="1"/>
              <w:bottom w:val="single" w:color="CCD6E6" w:sz="1"/>
              <w:right w:val="single" w:color="CCD6E6" w:sz="1"/>
            </w:tcBorders>
            <w:tcMar>
              <w:top w:type="dxa" w:w="70"/>
              <w:left w:type="dxa" w:w="130"/>
              <w:bottom w:type="dxa" w:w="70"/>
              <w:right w:type="dxa" w:w="130"/>
            </w:tcMar>
            <w:vAlign w:val="center"/>
          </w:tcPr>
          <w:p>
            <w:r>
              <w:rPr>
                <w:b w:val="false"/>
                <w:bCs w:val="false"/>
                <w:color w:val="1B2430"/>
                <w:sz w:val="20"/>
                <w:szCs w:val="20"/>
              </w:rPr>
              <w:t xml:space="preserve">Yes</w:t>
            </w:r>
          </w:p>
        </w:tc>
      </w:tr>
      <w:tr>
        <w:tc>
          <w:tcPr>
            <w:tcW w:type="dxa" w:w="3400"/>
            <w:tcBorders>
              <w:top w:val="single" w:color="CCD6E6" w:sz="1"/>
              <w:left w:val="single" w:color="CCD6E6" w:sz="1"/>
              <w:bottom w:val="single" w:color="CCD6E6" w:sz="1"/>
              <w:right w:val="single" w:color="CCD6E6" w:sz="1"/>
            </w:tcBorders>
            <w:shd w:fill="F5F8FC" w:val="clear"/>
            <w:tcMar>
              <w:top w:type="dxa" w:w="70"/>
              <w:left w:type="dxa" w:w="130"/>
              <w:bottom w:type="dxa" w:w="70"/>
              <w:right w:type="dxa" w:w="130"/>
            </w:tcMar>
            <w:vAlign w:val="center"/>
          </w:tcPr>
          <w:p>
            <w:r>
              <w:rPr>
                <w:b/>
                <w:bCs/>
                <w:color w:val="1B2430"/>
                <w:sz w:val="20"/>
                <w:szCs w:val="20"/>
              </w:rPr>
              <w:t xml:space="preserve">Head of Data Architecture</w:t>
            </w:r>
          </w:p>
        </w:tc>
        <w:tc>
          <w:tcPr>
            <w:tcW w:type="dxa" w:w="3960"/>
            <w:tcBorders>
              <w:top w:val="single" w:color="CCD6E6" w:sz="1"/>
              <w:left w:val="single" w:color="CCD6E6" w:sz="1"/>
              <w:bottom w:val="single" w:color="CCD6E6" w:sz="1"/>
              <w:right w:val="single" w:color="CCD6E6" w:sz="1"/>
            </w:tcBorders>
            <w:shd w:fill="F5F8FC" w:val="clear"/>
            <w:tcMar>
              <w:top w:type="dxa" w:w="70"/>
              <w:left w:type="dxa" w:w="130"/>
              <w:bottom w:type="dxa" w:w="70"/>
              <w:right w:type="dxa" w:w="130"/>
            </w:tcMar>
            <w:vAlign w:val="center"/>
          </w:tcPr>
          <w:p>
            <w:r>
              <w:rPr>
                <w:b w:val="false"/>
                <w:bCs w:val="false"/>
                <w:color w:val="1B2430"/>
                <w:sz w:val="20"/>
                <w:szCs w:val="20"/>
              </w:rPr>
              <w:t xml:space="preserve">Enterprise Data Architect</w:t>
            </w:r>
          </w:p>
        </w:tc>
        <w:tc>
          <w:tcPr>
            <w:tcW w:type="dxa" w:w="2000"/>
            <w:tcBorders>
              <w:top w:val="single" w:color="CCD6E6" w:sz="1"/>
              <w:left w:val="single" w:color="CCD6E6" w:sz="1"/>
              <w:bottom w:val="single" w:color="CCD6E6" w:sz="1"/>
              <w:right w:val="single" w:color="CCD6E6" w:sz="1"/>
            </w:tcBorders>
            <w:shd w:fill="F5F8FC" w:val="clear"/>
            <w:tcMar>
              <w:top w:type="dxa" w:w="70"/>
              <w:left w:type="dxa" w:w="130"/>
              <w:bottom w:type="dxa" w:w="70"/>
              <w:right w:type="dxa" w:w="130"/>
            </w:tcMar>
            <w:vAlign w:val="center"/>
          </w:tcPr>
          <w:p>
            <w:r>
              <w:rPr>
                <w:b w:val="false"/>
                <w:bCs w:val="false"/>
                <w:color w:val="1B2430"/>
                <w:sz w:val="20"/>
                <w:szCs w:val="20"/>
              </w:rPr>
              <w:t xml:space="preserve">Advisory</w:t>
            </w:r>
          </w:p>
        </w:tc>
      </w:tr>
      <w:tr>
        <w:tc>
          <w:tcPr>
            <w:tcW w:type="dxa" w:w="3400"/>
            <w:tcBorders>
              <w:top w:val="single" w:color="CCD6E6" w:sz="1"/>
              <w:left w:val="single" w:color="CCD6E6" w:sz="1"/>
              <w:bottom w:val="single" w:color="CCD6E6" w:sz="1"/>
              <w:right w:val="single" w:color="CCD6E6" w:sz="1"/>
            </w:tcBorders>
            <w:tcMar>
              <w:top w:type="dxa" w:w="70"/>
              <w:left w:type="dxa" w:w="130"/>
              <w:bottom w:type="dxa" w:w="70"/>
              <w:right w:type="dxa" w:w="130"/>
            </w:tcMar>
            <w:vAlign w:val="center"/>
          </w:tcPr>
          <w:p>
            <w:r>
              <w:rPr>
                <w:b/>
                <w:bCs/>
                <w:color w:val="1B2430"/>
                <w:sz w:val="20"/>
                <w:szCs w:val="20"/>
              </w:rPr>
              <w:t xml:space="preserve">Data Custodian (IT)</w:t>
            </w:r>
          </w:p>
        </w:tc>
        <w:tc>
          <w:tcPr>
            <w:tcW w:type="dxa" w:w="3960"/>
            <w:tcBorders>
              <w:top w:val="single" w:color="CCD6E6" w:sz="1"/>
              <w:left w:val="single" w:color="CCD6E6" w:sz="1"/>
              <w:bottom w:val="single" w:color="CCD6E6" w:sz="1"/>
              <w:right w:val="single" w:color="CCD6E6" w:sz="1"/>
            </w:tcBorders>
            <w:tcMar>
              <w:top w:type="dxa" w:w="70"/>
              <w:left w:type="dxa" w:w="130"/>
              <w:bottom w:type="dxa" w:w="70"/>
              <w:right w:type="dxa" w:w="130"/>
            </w:tcMar>
            <w:vAlign w:val="center"/>
          </w:tcPr>
          <w:p>
            <w:r>
              <w:rPr>
                <w:b w:val="false"/>
                <w:bCs w:val="false"/>
                <w:color w:val="1B2430"/>
                <w:sz w:val="20"/>
                <w:szCs w:val="20"/>
              </w:rPr>
              <w:t xml:space="preserve">Platform Engineering Lead</w:t>
            </w:r>
          </w:p>
        </w:tc>
        <w:tc>
          <w:tcPr>
            <w:tcW w:type="dxa" w:w="2000"/>
            <w:tcBorders>
              <w:top w:val="single" w:color="CCD6E6" w:sz="1"/>
              <w:left w:val="single" w:color="CCD6E6" w:sz="1"/>
              <w:bottom w:val="single" w:color="CCD6E6" w:sz="1"/>
              <w:right w:val="single" w:color="CCD6E6" w:sz="1"/>
            </w:tcBorders>
            <w:tcMar>
              <w:top w:type="dxa" w:w="70"/>
              <w:left w:type="dxa" w:w="130"/>
              <w:bottom w:type="dxa" w:w="70"/>
              <w:right w:type="dxa" w:w="130"/>
            </w:tcMar>
            <w:vAlign w:val="center"/>
          </w:tcPr>
          <w:p>
            <w:r>
              <w:rPr>
                <w:b w:val="false"/>
                <w:bCs w:val="false"/>
                <w:color w:val="1B2430"/>
                <w:sz w:val="20"/>
                <w:szCs w:val="20"/>
              </w:rPr>
              <w:t xml:space="preserve">Advisory</w:t>
            </w:r>
          </w:p>
        </w:tc>
      </w:tr>
      <w:tr>
        <w:tc>
          <w:tcPr>
            <w:tcW w:type="dxa" w:w="3400"/>
            <w:tcBorders>
              <w:top w:val="single" w:color="CCD6E6" w:sz="1"/>
              <w:left w:val="single" w:color="CCD6E6" w:sz="1"/>
              <w:bottom w:val="single" w:color="CCD6E6" w:sz="1"/>
              <w:right w:val="single" w:color="CCD6E6" w:sz="1"/>
            </w:tcBorders>
            <w:shd w:fill="F5F8FC" w:val="clear"/>
            <w:tcMar>
              <w:top w:type="dxa" w:w="70"/>
              <w:left w:type="dxa" w:w="130"/>
              <w:bottom w:type="dxa" w:w="70"/>
              <w:right w:type="dxa" w:w="130"/>
            </w:tcMar>
            <w:vAlign w:val="center"/>
          </w:tcPr>
          <w:p>
            <w:r>
              <w:rPr>
                <w:b/>
                <w:bCs/>
                <w:color w:val="1B2430"/>
                <w:sz w:val="20"/>
                <w:szCs w:val="20"/>
              </w:rPr>
              <w:t xml:space="preserve">Secretary</w:t>
            </w:r>
          </w:p>
        </w:tc>
        <w:tc>
          <w:tcPr>
            <w:tcW w:type="dxa" w:w="3960"/>
            <w:tcBorders>
              <w:top w:val="single" w:color="CCD6E6" w:sz="1"/>
              <w:left w:val="single" w:color="CCD6E6" w:sz="1"/>
              <w:bottom w:val="single" w:color="CCD6E6" w:sz="1"/>
              <w:right w:val="single" w:color="CCD6E6" w:sz="1"/>
            </w:tcBorders>
            <w:shd w:fill="F5F8FC" w:val="clear"/>
            <w:tcMar>
              <w:top w:type="dxa" w:w="70"/>
              <w:left w:type="dxa" w:w="130"/>
              <w:bottom w:type="dxa" w:w="70"/>
              <w:right w:type="dxa" w:w="130"/>
            </w:tcMar>
            <w:vAlign w:val="center"/>
          </w:tcPr>
          <w:p>
            <w:r>
              <w:rPr>
                <w:b w:val="false"/>
                <w:bCs w:val="false"/>
                <w:color w:val="1B2430"/>
                <w:sz w:val="20"/>
                <w:szCs w:val="20"/>
              </w:rPr>
              <w:t xml:space="preserve">Data Governance Office</w:t>
            </w:r>
          </w:p>
        </w:tc>
        <w:tc>
          <w:tcPr>
            <w:tcW w:type="dxa" w:w="2000"/>
            <w:tcBorders>
              <w:top w:val="single" w:color="CCD6E6" w:sz="1"/>
              <w:left w:val="single" w:color="CCD6E6" w:sz="1"/>
              <w:bottom w:val="single" w:color="CCD6E6" w:sz="1"/>
              <w:right w:val="single" w:color="CCD6E6" w:sz="1"/>
            </w:tcBorders>
            <w:shd w:fill="F5F8FC" w:val="clear"/>
            <w:tcMar>
              <w:top w:type="dxa" w:w="70"/>
              <w:left w:type="dxa" w:w="130"/>
              <w:bottom w:type="dxa" w:w="70"/>
              <w:right w:type="dxa" w:w="130"/>
            </w:tcMar>
            <w:vAlign w:val="center"/>
          </w:tcPr>
          <w:p>
            <w:r>
              <w:rPr>
                <w:b w:val="false"/>
                <w:bCs w:val="false"/>
                <w:color w:val="1B2430"/>
                <w:sz w:val="20"/>
                <w:szCs w:val="20"/>
              </w:rPr>
              <w:t xml:space="preserve">No</w:t>
            </w:r>
          </w:p>
        </w:tc>
      </w:tr>
    </w:tbl>
    <w:p>
      <w:pPr>
        <w:pStyle w:val="Heading1"/>
      </w:pPr>
      <w:r>
        <w:rPr>
          <w:color w:val="1F3864"/>
        </w:rPr>
        <w:t xml:space="preserve">4. Ways of working</w:t>
      </w:r>
    </w:p>
    <w:p>
      <w:pPr>
        <w:spacing w:after="120"/>
      </w:pPr>
      <w:r>
        <w:rPr>
          <w:b/>
          <w:bCs/>
        </w:rPr>
        <w:t xml:space="preserve">Cadence. </w:t>
      </w:r>
      <w:r>
        <w:t xml:space="preserve">The Council meets monthly, with an agenda and papers issued by the Secretariat at least three working days in advance.</w:t>
      </w:r>
    </w:p>
    <w:p>
      <w:pPr>
        <w:spacing w:after="120"/>
      </w:pPr>
      <w:r>
        <w:rPr>
          <w:b/>
          <w:bCs/>
        </w:rPr>
        <w:t xml:space="preserve">Quorum. </w:t>
      </w:r>
      <w:r>
        <w:t xml:space="preserve">Quorum is the Chair (or delegate) plus at least half of the voting members.</w:t>
      </w:r>
    </w:p>
    <w:p>
      <w:pPr>
        <w:spacing w:after="120"/>
      </w:pPr>
      <w:r>
        <w:rPr>
          <w:b/>
          <w:bCs/>
        </w:rPr>
        <w:t xml:space="preserve">Decisions. </w:t>
      </w:r>
      <w:r>
        <w:t xml:space="preserve">Decisions are taken by consensus; where consensus is not reached, the Chair holds the deciding vote. Decisions and actions are minuted and tracked to closure.</w:t>
      </w:r>
    </w:p>
    <w:p>
      <w:pPr>
        <w:spacing w:after="120"/>
      </w:pPr>
      <w:r>
        <w:rPr>
          <w:b/>
          <w:bCs/>
        </w:rPr>
        <w:t xml:space="preserve">Secretariat. </w:t>
      </w:r>
      <w:r>
        <w:t xml:space="preserve">The Data Governance Office runs the Council: agenda, papers, minutes, decision log and follow-up.</w:t>
      </w:r>
    </w:p>
    <w:p>
      <w:pPr>
        <w:pStyle w:val="Heading1"/>
      </w:pPr>
      <w:r>
        <w:rPr>
          <w:color w:val="1F3864"/>
        </w:rPr>
        <w:t xml:space="preserve">5. Responsibilities</w:t>
      </w:r>
    </w:p>
    <w:p>
      <w:pPr>
        <w:pStyle w:val="ListParagraph"/>
        <w:numPr>
          <w:ilvl w:val="0"/>
          <w:numId w:val="2"/>
        </w:numPr>
        <w:spacing w:after="60"/>
      </w:pPr>
      <w:r>
        <w:t xml:space="preserve">Own the data governance policy and standards, and review them at least annually.</w:t>
      </w:r>
    </w:p>
    <w:p>
      <w:pPr>
        <w:pStyle w:val="ListParagraph"/>
        <w:numPr>
          <w:ilvl w:val="0"/>
          <w:numId w:val="2"/>
        </w:numPr>
        <w:spacing w:after="60"/>
      </w:pPr>
      <w:r>
        <w:t xml:space="preserve">Approve annual data-quality objectives and monitor them through the KPI scorecard.</w:t>
      </w:r>
    </w:p>
    <w:p>
      <w:pPr>
        <w:pStyle w:val="ListParagraph"/>
        <w:numPr>
          <w:ilvl w:val="0"/>
          <w:numId w:val="2"/>
        </w:numPr>
        <w:spacing w:after="60"/>
      </w:pPr>
      <w:r>
        <w:t xml:space="preserve">Charter and oversee the data governance working groups and confirm their mandates.</w:t>
      </w:r>
    </w:p>
    <w:p>
      <w:pPr>
        <w:pStyle w:val="ListParagraph"/>
        <w:numPr>
          <w:ilvl w:val="0"/>
          <w:numId w:val="2"/>
        </w:numPr>
        <w:spacing w:after="60"/>
      </w:pPr>
      <w:r>
        <w:t xml:space="preserve">Arbitrate escalated cross-domain issues and unblock remediation.</w:t>
      </w:r>
    </w:p>
    <w:p>
      <w:pPr>
        <w:pStyle w:val="ListParagraph"/>
        <w:numPr>
          <w:ilvl w:val="0"/>
          <w:numId w:val="2"/>
        </w:numPr>
        <w:spacing w:after="60"/>
      </w:pPr>
      <w:r>
        <w:t xml:space="preserve">Provide assurance to executive management and, where relevant, to regulators and audit.</w:t>
      </w:r>
    </w:p>
    <w:p>
      <w:pPr>
        <w:pStyle w:val="Heading1"/>
      </w:pPr>
      <w:r>
        <w:rPr>
          <w:color w:val="1F3864"/>
        </w:rPr>
        <w:t xml:space="preserve">6. Reporting and escalation</w:t>
      </w:r>
    </w:p>
    <w:p>
      <w:pPr>
        <w:spacing w:after="120"/>
      </w:pPr>
      <w:r>
        <w:t xml:space="preserve">The Council reports to executive management on the state of data governance, using the KPI scorecard and a short narrative on risks and decisions. Working groups escalate unresolved issues and material risks to the Council; the Council escalates matters beyond its mandate to the executive.</w:t>
      </w:r>
    </w:p>
    <w:p>
      <w:pPr>
        <w:pStyle w:val="Heading1"/>
      </w:pPr>
      <w:r>
        <w:rPr>
          <w:color w:val="1F3864"/>
        </w:rPr>
        <w:t xml:space="preserve">7. Review</w:t>
      </w:r>
    </w:p>
    <w:p>
      <w:pPr>
        <w:spacing w:after="120"/>
      </w:pPr>
      <w:r>
        <w:t xml:space="preserve">These Terms of Reference are reviewed at least annually, or sooner if the operating model, regulatory context or organisational structure changes materially. Changes are approved by the Council and version-controlled.</w:t>
      </w:r>
    </w:p>
    <w:sectPr>
      <w:headerReference w:type="default" r:id="rId7"/>
      <w:footerReference w:type="default" r:id="rId8"/>
      <w:pgSz w:w="12240" w:h="15840" w:orient="portrait"/>
      <w:pgMar w:top="1200" w:right="1440" w:bottom="12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6E0F0" w:sz="4" w:space="4"/>
      </w:pBdr>
      <w:tabs>
        <w:tab w:val="right" w:pos="9360"/>
      </w:tabs>
    </w:pPr>
    <w:r>
      <w:rPr>
        <w:color w:val="5B6675"/>
        <w:sz w:val="15"/>
        <w:szCs w:val="15"/>
      </w:rPr>
      <w:t xml:space="preserve">Bernard Millet  ·  Data Governance work sample (sanitized)</w:t>
    </w:r>
    <w:r>
      <w:rPr>
        <w:color w:val="5B6675"/>
        <w:sz w:val="15"/>
        <w:szCs w:val="15"/>
      </w:rPr>
      <w:t xml:space="preserve">	Page </w:t>
    </w:r>
    <w:r>
      <w:rPr>
        <w:color w:val="5B6675"/>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6E0F0" w:sz="4" w:space="4"/>
      </w:pBdr>
      <w:tabs>
        <w:tab w:val="right" w:pos="9360"/>
      </w:tabs>
    </w:pPr>
    <w:r>
      <w:rPr>
        <w:color w:val="5B6675"/>
        <w:sz w:val="16"/>
        <w:szCs w:val="16"/>
      </w:rPr>
      <w:t xml:space="preserve">Data Governance  ·  Terms of Reference</w:t>
    </w:r>
    <w:r>
      <w:rPr>
        <w:b/>
        <w:bCs/>
        <w:color w:val="BF8F00"/>
        <w:sz w:val="16"/>
        <w:szCs w:val="16"/>
      </w:rPr>
      <w:t xml:space="preserve">	EXAMPLE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20" w:hanging="3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3B82C4" w:sz="6" w:space="4"/>
      </w:pBdr>
      <w:spacing w:after="140" w:before="300"/>
      <w:outlineLvl w:val="0"/>
    </w:pPr>
    <w:rPr>
      <w:rFonts w:ascii="Arial" w:cs="Arial" w:eastAsia="Arial" w:hAnsi="Arial"/>
      <w:b/>
      <w:bCs/>
      <w:color w:val="1F3864"/>
      <w:sz w:val="26"/>
      <w:szCs w:val="26"/>
    </w:rPr>
  </w:style>
  <w:style w:type="paragraph" w:styleId="Heading2">
    <w:name w:val="Heading 2"/>
    <w:basedOn w:val="Normal"/>
    <w:next w:val="Normal"/>
    <w:qFormat/>
    <w:pPr>
      <w:spacing w:after="100" w:before="200"/>
      <w:outlineLvl w:val="1"/>
    </w:pPr>
    <w:rPr>
      <w:rFonts w:ascii="Arial" w:cs="Arial" w:eastAsia="Arial" w:hAnsi="Arial"/>
      <w:b/>
      <w:bCs/>
      <w:color w:val="2E5496"/>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of Reference — Data Governance Council (Example)</dc:title>
  <dc:creator>Bernard Millet</dc:creator>
  <cp:lastModifiedBy>Un-named</cp:lastModifiedBy>
  <cp:revision>1</cp:revision>
  <dcterms:created xsi:type="dcterms:W3CDTF">2026-07-08T17:28:23.743Z</dcterms:created>
  <dcterms:modified xsi:type="dcterms:W3CDTF">2026-07-08T17:28:23.744Z</dcterms:modified>
</cp:coreProperties>
</file>

<file path=docProps/custom.xml><?xml version="1.0" encoding="utf-8"?>
<Properties xmlns="http://schemas.openxmlformats.org/officeDocument/2006/custom-properties" xmlns:vt="http://schemas.openxmlformats.org/officeDocument/2006/docPropsVTypes"/>
</file>