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rPr>
          <w:b/>
          <w:bCs/>
          <w:color w:val="3B82C4"/>
          <w:sz w:val="18"/>
          <w:szCs w:val="18"/>
        </w:rPr>
        <w:t xml:space="preserve">PORTFOLIO WORK SAMPLE</w:t>
      </w:r>
    </w:p>
    <w:p>
      <w:pPr>
        <w:spacing w:after="0" w:before="820"/>
      </w:pPr>
      <w:r>
        <w:rPr>
          <w:b/>
          <w:bCs/>
          <w:color w:val="1F3864"/>
          <w:sz w:val="52"/>
          <w:szCs w:val="52"/>
        </w:rPr>
        <w:t xml:space="preserve">Data Governance Policy</w:t>
      </w:r>
    </w:p>
    <w:p>
      <w:pPr>
        <w:pBdr>
          <w:bottom w:val="single" w:color="2E5496" w:sz="12" w:space="6"/>
        </w:pBdr>
        <w:spacing w:after="60" w:before="120"/>
      </w:pPr>
      <w:r>
        <w:rPr>
          <w:color w:val="2E5496"/>
          <w:sz w:val="26"/>
          <w:szCs w:val="26"/>
        </w:rPr>
        <w:t xml:space="preserve">Framework, roles and policy statements</w:t>
      </w:r>
    </w:p>
    <w:p>
      <w:pPr>
        <w:pBdr>
          <w:left w:val="single" w:color="3B82C4" w:sz="18" w:space="12"/>
        </w:pBdr>
        <w:shd w:fill="F3F7FD" w:val="clear"/>
        <w:spacing w:after="200" w:before="360"/>
      </w:pPr>
      <w:r>
        <w:rPr>
          <w:i/>
          <w:iCs/>
          <w:color w:val="33414F"/>
          <w:sz w:val="20"/>
          <w:szCs w:val="20"/>
        </w:rPr>
        <w:t xml:space="preserve">Portfolio work sample. A sanitized version of the data governance policy I authored while building a wealth-management data governance framework from scratch across 12 markets at a global bank. Client-specific content has been removed; it illustrates how I turn governance principles into an operating model, clear accountable roles and enforceable policy statements.</w:t>
      </w:r>
    </w:p>
    <w:p>
      <w:pPr>
        <w:spacing w:before="520"/>
      </w:pPr>
      <w:r>
        <w:rPr>
          <w:b/>
          <w:bCs/>
          <w:color w:val="595959"/>
          <w:sz w:val="22"/>
          <w:szCs w:val="22"/>
        </w:rPr>
        <w:t xml:space="preserve">About this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Field</w:t>
            </w:r>
          </w:p>
        </w:tc>
        <w:tc>
          <w:tcPr>
            <w:tcW w:type="dxa" w:w="63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Value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Author</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Bernard Millet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Artefact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governance policy (work sample)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domain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Governance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Context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Global bank / wealth manager. APAC, 12 markets (anonymized)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My role</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Head of Data Management and Records Management, APAC</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Status</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Sanitized portfolio sample, not a client document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Classification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Public (sanitized)</w:t>
            </w:r>
          </w:p>
        </w:tc>
      </w:tr>
    </w:tbl>
    <w:p>
      <w:pPr>
        <w:spacing w:before="240"/>
      </w:pPr>
      <w:r>
        <w:rPr>
          <w:i/>
          <w:iCs/>
          <w:color w:val="595959"/>
          <w:sz w:val="16"/>
          <w:szCs w:val="16"/>
        </w:rPr>
        <w:t xml:space="preserve">Confidentiality note: this is a sanitized work sample authored by Bernard Millet. All client-specific data, names and identifiers have been removed; it is representative of approach and craft, not a client deliverable.</w:t>
      </w:r>
    </w:p>
    <w:p>
      <w:pPr>
        <w:pageBreakBefore/>
      </w:pPr>
    </w:p>
    <w:p>
      <w:pPr>
        <w:spacing w:after="160"/>
      </w:pPr>
      <w:r>
        <w:rPr>
          <w:b/>
          <w:bCs/>
          <w:color w:val="1F3864"/>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pPr>
    </w:p>
    <w:p>
      <w:pPr>
        <w:pStyle w:val="Heading1"/>
      </w:pPr>
      <w:r>
        <w:t xml:space="preserve">1. Purpose</w:t>
      </w:r>
    </w:p>
    <w:p>
      <w:pPr>
        <w:spacing w:after="120"/>
      </w:pPr>
      <w:r>
        <w:t xml:space="preserve">This policy establishes the framework, principles, roles and responsibilities for governing data as a strategic asset across the organization. It ensures data is managed consistently, is fit for purpose, is protected, and supports reliable decision-making and regulatory compliance.</w:t>
      </w:r>
    </w:p>
    <w:p>
      <w:pPr>
        <w:pStyle w:val="Heading1"/>
      </w:pPr>
      <w:r>
        <w:t xml:space="preserve">2. Scope</w:t>
      </w:r>
    </w:p>
    <w:p>
      <w:pPr>
        <w:spacing w:after="120"/>
      </w:pPr>
      <w:r>
        <w:t xml:space="preserve">This policy applies to all data created, collected, processed, stored or shared by the organization, in all formats and systems, and to all employees, contractors and third parties who handle that data.</w:t>
      </w:r>
    </w:p>
    <w:p>
      <w:pPr>
        <w:pStyle w:val="Heading1"/>
      </w:pPr>
      <w:r>
        <w:t xml:space="preserve">3. Guiding principles</w:t>
      </w:r>
    </w:p>
    <w:p>
      <w:pPr>
        <w:pStyle w:val="ListParagraph"/>
        <w:numPr>
          <w:ilvl w:val="0"/>
          <w:numId w:val="2"/>
        </w:numPr>
        <w:spacing w:after="60"/>
      </w:pPr>
      <w:r>
        <w:t xml:space="preserve">Data is a shared enterprise asset, not the property of any single team or system.</w:t>
      </w:r>
    </w:p>
    <w:p>
      <w:pPr>
        <w:pStyle w:val="ListParagraph"/>
        <w:numPr>
          <w:ilvl w:val="0"/>
          <w:numId w:val="2"/>
        </w:numPr>
        <w:spacing w:after="60"/>
      </w:pPr>
      <w:r>
        <w:t xml:space="preserve">Every critical data domain has a named, accountable Data Owner.</w:t>
      </w:r>
    </w:p>
    <w:p>
      <w:pPr>
        <w:pStyle w:val="ListParagraph"/>
        <w:numPr>
          <w:ilvl w:val="0"/>
          <w:numId w:val="2"/>
        </w:numPr>
        <w:spacing w:after="60"/>
      </w:pPr>
      <w:r>
        <w:t xml:space="preserve">Data quality is managed proactively against agreed dimensions and thresholds.</w:t>
      </w:r>
    </w:p>
    <w:p>
      <w:pPr>
        <w:pStyle w:val="ListParagraph"/>
        <w:numPr>
          <w:ilvl w:val="0"/>
          <w:numId w:val="2"/>
        </w:numPr>
        <w:spacing w:after="60"/>
      </w:pPr>
      <w:r>
        <w:t xml:space="preserve">Access follows least-privilege and is granted on a need-to-know basis.</w:t>
      </w:r>
    </w:p>
    <w:p>
      <w:pPr>
        <w:pStyle w:val="ListParagraph"/>
        <w:numPr>
          <w:ilvl w:val="0"/>
          <w:numId w:val="2"/>
        </w:numPr>
        <w:spacing w:after="60"/>
      </w:pPr>
      <w:r>
        <w:t xml:space="preserve">Decisions are auditable: definitions, rules and changes are documented in the catalog.</w:t>
      </w:r>
    </w:p>
    <w:p>
      <w:pPr>
        <w:pStyle w:val="Heading1"/>
      </w:pPr>
      <w:r>
        <w:t xml:space="preserve">4. Governance operating model</w:t>
      </w:r>
    </w:p>
    <w:p>
      <w:pPr>
        <w:spacing w:after="120"/>
      </w:pPr>
      <w:r>
        <w:t xml:space="preserve">Governance is exercised through three lines: domain ownership (business accountability), stewardship (day-to-day data management), and custodianship (technical implementation), overseen by a Data Governance Council.</w:t>
      </w:r>
    </w:p>
    <w:p>
      <w:pPr>
        <w:pStyle w:val="Heading2"/>
      </w:pPr>
      <w:r>
        <w:t xml:space="preserve">4.1 Roles and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Role</w:t>
            </w:r>
          </w:p>
        </w:tc>
        <w:tc>
          <w:tcPr>
            <w:tcW w:type="dxa" w:w="6760"/>
            <w:tcBorders>
              <w:top w:val="single" w:color="BFBFBF" w:sz="1"/>
              <w:left w:val="single" w:color="BFBFBF" w:sz="1"/>
              <w:bottom w:val="single" w:color="BFBFBF" w:sz="1"/>
              <w:right w:val="single" w:color="BFBFBF" w:sz="1"/>
            </w:tcBorders>
            <w:shd w:fill="2E5496" w:val="clear"/>
            <w:tcMar>
              <w:top w:type="dxa" w:w="60"/>
              <w:left w:type="dxa" w:w="110"/>
              <w:bottom w:type="dxa" w:w="60"/>
              <w:right w:type="dxa" w:w="110"/>
            </w:tcMar>
          </w:tcPr>
          <w:p>
            <w:r>
              <w:rPr>
                <w:b/>
                <w:bCs/>
                <w:color w:val="FFFFFF"/>
                <w:sz w:val="19"/>
                <w:szCs w:val="19"/>
              </w:rPr>
              <w:t xml:space="preserve">Core responsibilities</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Governance Council</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Sets policy, prioritises domains, arbitrates cross-domain conflicts, approves standards.</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Chief Data Officer / DG Lead</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Owns the framework, reports KPIs to leadership, chairs the Council.</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Owner (business)</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Accountable for a domain: definitions, classification, quality thresholds, access approval.</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Steward</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Day-to-day: maintains glossary and catalog, monitors quality, resolves issues.</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Custodian (IT)</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Implements controls: storage, access provisioning, backup, technical metadata.</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Data User</w:t>
            </w:r>
          </w:p>
        </w:tc>
        <w:tc>
          <w:tcPr>
            <w:tcW w:type="dxa" w:w="6760"/>
            <w:tcBorders>
              <w:top w:val="single" w:color="BFBFBF" w:sz="1"/>
              <w:left w:val="single" w:color="BFBFBF" w:sz="1"/>
              <w:bottom w:val="single" w:color="BFBFBF" w:sz="1"/>
              <w:right w:val="single" w:color="BFBFBF" w:sz="1"/>
            </w:tcBorders>
            <w:shd w:fill="FFFFFF" w:val="clear"/>
            <w:tcMar>
              <w:top w:type="dxa" w:w="60"/>
              <w:left w:type="dxa" w:w="110"/>
              <w:bottom w:type="dxa" w:w="60"/>
              <w:right w:type="dxa" w:w="110"/>
            </w:tcMar>
          </w:tcPr>
          <w:p>
            <w:r>
              <w:rPr>
                <w:color w:val="222222"/>
                <w:sz w:val="19"/>
                <w:szCs w:val="19"/>
              </w:rPr>
              <w:t xml:space="preserve">Uses data per policy; reports quality issues and access needs.</w:t>
            </w:r>
          </w:p>
        </w:tc>
      </w:tr>
    </w:tbl>
    <w:p>
      <w:pPr>
        <w:spacing w:after="120"/>
      </w:pPr>
      <w:r>
        <w:t xml:space="preserve"/>
      </w:r>
    </w:p>
    <w:p>
      <w:pPr>
        <w:spacing w:after="120"/>
      </w:pPr>
      <w:r>
        <w:rPr>
          <w:i/>
          <w:iCs/>
          <w:color w:val="595959"/>
        </w:rPr>
        <w:t xml:space="preserve">A detailed activity-level RACI is maintained in the companion workbook 'Data Governance Operating Model (RACI)'.</w:t>
      </w:r>
    </w:p>
    <w:p>
      <w:pPr>
        <w:pStyle w:val="Heading1"/>
      </w:pPr>
      <w:r>
        <w:t xml:space="preserve">5. Policy statements</w:t>
      </w:r>
    </w:p>
    <w:p>
      <w:pPr>
        <w:pStyle w:val="ListParagraph"/>
        <w:numPr>
          <w:ilvl w:val="0"/>
          <w:numId w:val="3"/>
        </w:numPr>
        <w:spacing w:after="60"/>
      </w:pPr>
      <w:r>
        <w:t xml:space="preserve">Each critical data domain must have a documented Data Owner and at least one Data Steward.</w:t>
      </w:r>
    </w:p>
    <w:p>
      <w:pPr>
        <w:pStyle w:val="ListParagraph"/>
        <w:numPr>
          <w:ilvl w:val="0"/>
          <w:numId w:val="3"/>
        </w:numPr>
        <w:spacing w:after="60"/>
      </w:pPr>
      <w:r>
        <w:t xml:space="preserve">Business-critical data elements must be defined in the enterprise data glossary before use in reporting.</w:t>
      </w:r>
    </w:p>
    <w:p>
      <w:pPr>
        <w:pStyle w:val="ListParagraph"/>
        <w:numPr>
          <w:ilvl w:val="0"/>
          <w:numId w:val="3"/>
        </w:numPr>
        <w:spacing w:after="60"/>
      </w:pPr>
      <w:r>
        <w:t xml:space="preserve">Data quality rules must be defined, measured, and reported for all critical data elements.</w:t>
      </w:r>
    </w:p>
    <w:p>
      <w:pPr>
        <w:pStyle w:val="ListParagraph"/>
        <w:numPr>
          <w:ilvl w:val="0"/>
          <w:numId w:val="3"/>
        </w:numPr>
        <w:spacing w:after="60"/>
      </w:pPr>
      <w:r>
        <w:t xml:space="preserve">All data must be classified per the Data Classification and Protection Policy.</w:t>
      </w:r>
    </w:p>
    <w:p>
      <w:pPr>
        <w:pStyle w:val="ListParagraph"/>
        <w:numPr>
          <w:ilvl w:val="0"/>
          <w:numId w:val="3"/>
        </w:numPr>
        <w:spacing w:after="60"/>
      </w:pPr>
      <w:r>
        <w:t xml:space="preserve">Changes to definitions, rules, or classifications follow change-control and are recorded in the catalog.</w:t>
      </w:r>
    </w:p>
    <w:p>
      <w:pPr>
        <w:pStyle w:val="Heading1"/>
      </w:pPr>
      <w:r>
        <w:t xml:space="preserve">6. Compliance and exceptions</w:t>
      </w:r>
    </w:p>
    <w:p>
      <w:pPr>
        <w:spacing w:after="120"/>
      </w:pPr>
      <w:r>
        <w:t xml:space="preserve">Adherence is mandatory. Non-compliance may be subject to corrective action. Exceptions must be risk-assessed and approved by the Data Governance Council, time-boxed, and reviewed at expiry.</w:t>
      </w:r>
    </w:p>
    <w:p>
      <w:pPr>
        <w:pStyle w:val="Heading1"/>
      </w:pPr>
      <w:r>
        <w:t xml:space="preserve">7. Review</w:t>
      </w:r>
    </w:p>
    <w:p>
      <w:pPr>
        <w:spacing w:after="120"/>
      </w:pPr>
      <w:r>
        <w:t xml:space="preserve">This policy is reviewed at least annually by the Data Governance Council, or sooner following significant regulatory, organisational or technology change.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Bernard Millet, Data Management Portfolio      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color w:val="595959"/>
        <w:sz w:val="16"/>
        <w:szCs w:val="16"/>
      </w:rPr>
      <w:t xml:space="preserve">Data Governance Policy  |  Work sample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6" w:space="4"/>
      </w:pBdr>
      <w:spacing w:after="16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2E549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2026-06-29T09:00:34.514Z</dcterms:created>
  <dcterms:modified xsi:type="dcterms:W3CDTF">2026-06-29T09:00:34.516Z</dcterms:modified>
</cp:coreProperties>
</file>

<file path=docProps/custom.xml><?xml version="1.0" encoding="utf-8"?>
<Properties xmlns="http://schemas.openxmlformats.org/officeDocument/2006/custom-properties" xmlns:vt="http://schemas.openxmlformats.org/officeDocument/2006/docPropsVTypes"/>
</file>