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00"/>
      </w:pPr>
      <w:r>
        <w:rPr>
          <w:b/>
          <w:bCs/>
          <w:color w:val="3B82C4"/>
          <w:sz w:val="18"/>
          <w:szCs w:val="18"/>
        </w:rPr>
        <w:t xml:space="preserve">PORTFOLIO WORK SAMPLE</w:t>
      </w:r>
    </w:p>
    <w:p>
      <w:pPr>
        <w:spacing w:before="760"/>
      </w:pPr>
      <w:r>
        <w:rPr>
          <w:b/>
          <w:bCs/>
          <w:color w:val="1F3864"/>
          <w:sz w:val="44"/>
          <w:szCs w:val="44"/>
        </w:rPr>
        <w:t xml:space="preserve">Data Governance Operating Model</w:t>
      </w:r>
    </w:p>
    <w:p>
      <w:pPr>
        <w:pBdr>
          <w:bottom w:val="single" w:color="2E5496" w:sz="12" w:space="6"/>
        </w:pBdr>
        <w:spacing w:after="60" w:before="120"/>
      </w:pPr>
      <w:r>
        <w:rPr>
          <w:color w:val="2E5496"/>
          <w:sz w:val="24"/>
          <w:szCs w:val="24"/>
        </w:rPr>
        <w:t xml:space="preserve">How governance is executed: bodies, decision rights, controls and integration</w:t>
      </w:r>
    </w:p>
    <w:p>
      <w:pPr>
        <w:pBdr>
          <w:left w:val="single" w:color="3B82C4" w:sz="18" w:space="12"/>
        </w:pBdr>
        <w:shd w:fill="F3F7FD" w:val="clear"/>
        <w:spacing w:after="200" w:before="360"/>
      </w:pPr>
      <w:r>
        <w:rPr>
          <w:i/>
          <w:iCs/>
          <w:color w:val="33414F"/>
          <w:sz w:val="20"/>
          <w:szCs w:val="20"/>
        </w:rPr>
        <w:t xml:space="preserve">A data governance operating model is the engine room of the framework. The framework defines what the rules are; the operating model defines how they run, who is accountable, and the recurring routines that keep them active. This sanitized example is organised around four pillars and the three common archetypes.</w:t>
      </w:r>
    </w:p>
    <w:p>
      <w:pPr>
        <w:spacing w:before="460"/>
      </w:pPr>
      <w:r>
        <w:rPr>
          <w:b/>
          <w:bCs/>
          <w:color w:val="595959"/>
          <w:sz w:val="22"/>
          <w:szCs w:val="22"/>
        </w:rPr>
        <w:t xml:space="preserve">About this sample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Field</w:t>
            </w:r>
          </w:p>
        </w:tc>
        <w:tc>
          <w:tcPr>
            <w:tcW w:type="dxa" w:w="63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Value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Author</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Bernard Millet</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Artefact</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governance operating model (work sample)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domain</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Governance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Context</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Global bank / wealth manager (anonymized)</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My role</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Head of Data Management; Data Governance lead</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Status</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Sanitized portfolio sample, not a client document</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Classification</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Public (sanitized)</w:t>
            </w:r>
          </w:p>
        </w:tc>
      </w:tr>
    </w:tbl>
    <w:p>
      <w:pPr>
        <w:pageBreakBefore/>
      </w:pPr>
    </w:p>
    <w:p>
      <w:pPr>
        <w:spacing w:after="160"/>
      </w:pPr>
      <w:r>
        <w:rPr>
          <w:b/>
          <w:bCs/>
          <w:color w:val="1F3864"/>
          <w:sz w:val="28"/>
          <w:szCs w:val="28"/>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ageBreakBefore/>
      </w:pPr>
    </w:p>
    <w:p>
      <w:pPr>
        <w:pStyle w:val="Heading1"/>
      </w:pPr>
      <w:r>
        <w:t xml:space="preserve">1. Purpose</w:t>
      </w:r>
    </w:p>
    <w:p>
      <w:pPr>
        <w:spacing w:after="120"/>
      </w:pPr>
      <w:r>
        <w:t xml:space="preserve">This operating model turns the data governance framework into something that runs. The framework states the principles and rules; this document states how decisions are made, who is accountable, and the routines that keep governance active week to week. It is organised around four pillars.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00"/>
        <w:gridCol w:w="4760"/>
      </w:tblGrid>
      <w:tr>
        <w:trPr>
          <w:tblHeader/>
        </w:trPr>
        <w:tc>
          <w:tcPr>
            <w:tcW w:type="dxa" w:w="46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Pillar</w:t>
            </w:r>
          </w:p>
        </w:tc>
        <w:tc>
          <w:tcPr>
            <w:tcW w:type="dxa" w:w="47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What it answers</w:t>
            </w:r>
          </w:p>
        </w:tc>
      </w:tr>
      <w:tr>
        <w:tc>
          <w:tcPr>
            <w:tcW w:type="dxa" w:w="46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1. Governance structure (people and roles)</w:t>
            </w:r>
          </w:p>
        </w:tc>
        <w:tc>
          <w:tcPr>
            <w:tcW w:type="dxa" w:w="47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Who is accountable, and through which bodies</w:t>
            </w:r>
          </w:p>
        </w:tc>
      </w:tr>
      <w:tr>
        <w:tc>
          <w:tcPr>
            <w:tcW w:type="dxa" w:w="46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2. Decision rights and processes</w:t>
            </w:r>
          </w:p>
        </w:tc>
        <w:tc>
          <w:tcPr>
            <w:tcW w:type="dxa" w:w="47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Who decides what, and through which repeatable workflows</w:t>
            </w:r>
          </w:p>
        </w:tc>
      </w:tr>
      <w:tr>
        <w:tc>
          <w:tcPr>
            <w:tcW w:type="dxa" w:w="46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3. Standards, policies and controls</w:t>
            </w:r>
          </w:p>
        </w:tc>
        <w:tc>
          <w:tcPr>
            <w:tcW w:type="dxa" w:w="47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The rules of the road and how they are enforced</w:t>
            </w:r>
          </w:p>
        </w:tc>
      </w:tr>
      <w:tr>
        <w:tc>
          <w:tcPr>
            <w:tcW w:type="dxa" w:w="46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4. Integration and infrastructure</w:t>
            </w:r>
          </w:p>
        </w:tc>
        <w:tc>
          <w:tcPr>
            <w:tcW w:type="dxa" w:w="47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How governance is embedded in systems, metadata and reporting</w:t>
            </w:r>
          </w:p>
        </w:tc>
      </w:tr>
    </w:tbl>
    <w:p>
      <w:pPr>
        <w:pStyle w:val="Heading1"/>
      </w:pPr>
      <w:r>
        <w:t xml:space="preserve">2. Pillar 1: Governance structure (people and roles)</w:t>
      </w:r>
    </w:p>
    <w:p>
      <w:pPr>
        <w:spacing w:after="120"/>
      </w:pPr>
      <w:r>
        <w:t xml:space="preserve">Data is managed as a strategic asset through a clear hierarchy of bodies and roles, so that every data domain has a named, accountable owner.</w:t>
      </w:r>
    </w:p>
    <w:p>
      <w:pPr>
        <w:pStyle w:val="Heading2"/>
      </w:pPr>
      <w:r>
        <w:t xml:space="preserve">2.1 Governance bodies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3700"/>
        <w:gridCol w:w="2300"/>
        <w:gridCol w:w="1060"/>
      </w:tblGrid>
      <w:tr>
        <w:trPr>
          <w:tblHeader/>
        </w:trPr>
        <w:tc>
          <w:tcPr>
            <w:tcW w:type="dxa" w:w="23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Body</w:t>
            </w:r>
          </w:p>
        </w:tc>
        <w:tc>
          <w:tcPr>
            <w:tcW w:type="dxa" w:w="37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Mandate</w:t>
            </w:r>
          </w:p>
        </w:tc>
        <w:tc>
          <w:tcPr>
            <w:tcW w:type="dxa" w:w="23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Typical membership</w:t>
            </w:r>
          </w:p>
        </w:tc>
        <w:tc>
          <w:tcPr>
            <w:tcW w:type="dxa" w:w="10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Cadence</w:t>
            </w:r>
          </w:p>
        </w:tc>
      </w:tr>
      <w:tr>
        <w:tc>
          <w:tcPr>
            <w:tcW w:type="dxa" w:w="2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Governance Council</w:t>
            </w:r>
          </w:p>
        </w:tc>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Strategic oversight; approves policy and standards; arbitrates cross-domain conflicts</w:t>
            </w:r>
          </w:p>
        </w:tc>
        <w:tc>
          <w:tcPr>
            <w:tcW w:type="dxa" w:w="2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CDO (chair), Data Owners, Risk, Compliance, IT</w:t>
            </w:r>
          </w:p>
        </w:tc>
        <w:tc>
          <w:tcPr>
            <w:tcW w:type="dxa" w:w="10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Quarterly</w:t>
            </w:r>
          </w:p>
        </w:tc>
      </w:tr>
      <w:tr>
        <w:tc>
          <w:tcPr>
            <w:tcW w:type="dxa" w:w="2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Domain working groups</w:t>
            </w:r>
          </w:p>
        </w:tc>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Cross-department coordination; run remediation; propose standards</w:t>
            </w:r>
          </w:p>
        </w:tc>
        <w:tc>
          <w:tcPr>
            <w:tcW w:type="dxa" w:w="2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Stewards, business SMEs, data engineers</w:t>
            </w:r>
          </w:p>
        </w:tc>
        <w:tc>
          <w:tcPr>
            <w:tcW w:type="dxa" w:w="10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Monthly</w:t>
            </w:r>
          </w:p>
        </w:tc>
      </w:tr>
      <w:tr>
        <w:tc>
          <w:tcPr>
            <w:tcW w:type="dxa" w:w="2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Governance Office</w:t>
            </w:r>
          </w:p>
        </w:tc>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Runs the framework day to day; secretariat; reporting</w:t>
            </w:r>
          </w:p>
        </w:tc>
        <w:tc>
          <w:tcPr>
            <w:tcW w:type="dxa" w:w="2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DG Lead, governance analysts</w:t>
            </w:r>
          </w:p>
        </w:tc>
        <w:tc>
          <w:tcPr>
            <w:tcW w:type="dxa" w:w="10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Continuous</w:t>
            </w:r>
          </w:p>
        </w:tc>
      </w:tr>
    </w:tbl>
    <w:p>
      <w:pPr>
        <w:pStyle w:val="Heading2"/>
      </w:pPr>
      <w:r>
        <w:t xml:space="preserve">2.2 Role accountabilities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Role</w:t>
            </w:r>
          </w:p>
        </w:tc>
        <w:tc>
          <w:tcPr>
            <w:tcW w:type="dxa" w:w="69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Accountable or responsible for</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Owner (business)</w:t>
            </w:r>
          </w:p>
        </w:tc>
        <w:tc>
          <w:tcPr>
            <w:tcW w:type="dxa" w:w="69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The quality, security and lifecycle of a data domain (for example Customer Data or Financial Reporting)</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Steward</w:t>
            </w:r>
          </w:p>
        </w:tc>
        <w:tc>
          <w:tcPr>
            <w:tcW w:type="dxa" w:w="69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Day-to-day management, quality remediation, metadata and business-glossary upkeep</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Custodian (IT)</w:t>
            </w:r>
          </w:p>
        </w:tc>
        <w:tc>
          <w:tcPr>
            <w:tcW w:type="dxa" w:w="69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Technical implementation: storage, access controls, infrastructure, backups</w:t>
            </w:r>
          </w:p>
        </w:tc>
      </w:tr>
      <w:tr>
        <w:tc>
          <w:tcPr>
            <w:tcW w:type="dxa" w:w="24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CDO / DG Lead</w:t>
            </w:r>
          </w:p>
        </w:tc>
        <w:tc>
          <w:tcPr>
            <w:tcW w:type="dxa" w:w="69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Owns the framework, chairs the Council, reports posture to leadership</w:t>
            </w:r>
          </w:p>
        </w:tc>
      </w:tr>
    </w:tbl>
    <w:p>
      <w:pPr>
        <w:spacing w:after="120"/>
      </w:pPr>
      <w:r>
        <w:rPr>
          <w:i/>
          <w:iCs/>
          <w:color w:val="595959"/>
        </w:rPr>
        <w:t xml:space="preserve">Activity-level accountabilities are detailed in the companion RACI workbook, and each body is chartered by a Terms of Reference.</w:t>
      </w:r>
    </w:p>
    <w:p>
      <w:pPr>
        <w:pStyle w:val="Heading1"/>
      </w:pPr>
      <w:r>
        <w:t xml:space="preserve">3. Pillar 2: Decision rights and processes</w:t>
      </w:r>
    </w:p>
    <w:p>
      <w:pPr>
        <w:spacing w:after="120"/>
      </w:pPr>
      <w:r>
        <w:t xml:space="preserve">This pillar translates strategy into repeatable workflows: who has the authority to decide, and how routine data work is handled.</w:t>
      </w:r>
    </w:p>
    <w:p>
      <w:pPr>
        <w:pStyle w:val="Heading2"/>
      </w:pPr>
      <w:r>
        <w:t xml:space="preserve">3.1 Decision rights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1860"/>
        <w:gridCol w:w="2300"/>
        <w:gridCol w:w="1800"/>
      </w:tblGrid>
      <w:tr>
        <w:trPr>
          <w:tblHeader/>
        </w:trPr>
        <w:tc>
          <w:tcPr>
            <w:tcW w:type="dxa" w:w="34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Decision</w:t>
            </w:r>
          </w:p>
        </w:tc>
        <w:tc>
          <w:tcPr>
            <w:tcW w:type="dxa" w:w="18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Proposes</w:t>
            </w:r>
          </w:p>
        </w:tc>
        <w:tc>
          <w:tcPr>
            <w:tcW w:type="dxa" w:w="23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Approves</w:t>
            </w:r>
          </w:p>
        </w:tc>
        <w:tc>
          <w:tcPr>
            <w:tcW w:type="dxa" w:w="18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Consulted</w:t>
            </w:r>
          </w:p>
        </w:tc>
      </w:tr>
      <w:tr>
        <w:tc>
          <w:tcPr>
            <w:tcW w:type="dxa" w:w="34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New or changed data definition</w:t>
            </w:r>
          </w:p>
        </w:tc>
        <w:tc>
          <w:tcPr>
            <w:tcW w:type="dxa" w:w="18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Steward</w:t>
            </w:r>
          </w:p>
        </w:tc>
        <w:tc>
          <w:tcPr>
            <w:tcW w:type="dxa" w:w="2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Owner</w:t>
            </w:r>
          </w:p>
        </w:tc>
        <w:tc>
          <w:tcPr>
            <w:tcW w:type="dxa" w:w="18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Council</w:t>
            </w:r>
          </w:p>
        </w:tc>
      </w:tr>
      <w:tr>
        <w:tc>
          <w:tcPr>
            <w:tcW w:type="dxa" w:w="34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classification change</w:t>
            </w:r>
          </w:p>
        </w:tc>
        <w:tc>
          <w:tcPr>
            <w:tcW w:type="dxa" w:w="18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Owner</w:t>
            </w:r>
          </w:p>
        </w:tc>
        <w:tc>
          <w:tcPr>
            <w:tcW w:type="dxa" w:w="2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Council</w:t>
            </w:r>
          </w:p>
        </w:tc>
        <w:tc>
          <w:tcPr>
            <w:tcW w:type="dxa" w:w="18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Security, DPO</w:t>
            </w:r>
          </w:p>
        </w:tc>
      </w:tr>
      <w:tr>
        <w:tc>
          <w:tcPr>
            <w:tcW w:type="dxa" w:w="34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Access policy or grant</w:t>
            </w:r>
          </w:p>
        </w:tc>
        <w:tc>
          <w:tcPr>
            <w:tcW w:type="dxa" w:w="18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Owner</w:t>
            </w:r>
          </w:p>
        </w:tc>
        <w:tc>
          <w:tcPr>
            <w:tcW w:type="dxa" w:w="2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Owner + IT custodian</w:t>
            </w:r>
          </w:p>
        </w:tc>
        <w:tc>
          <w:tcPr>
            <w:tcW w:type="dxa" w:w="18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Steward</w:t>
            </w:r>
          </w:p>
        </w:tc>
      </w:tr>
      <w:tr>
        <w:tc>
          <w:tcPr>
            <w:tcW w:type="dxa" w:w="34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quality standard or threshold</w:t>
            </w:r>
          </w:p>
        </w:tc>
        <w:tc>
          <w:tcPr>
            <w:tcW w:type="dxa" w:w="18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Working group</w:t>
            </w:r>
          </w:p>
        </w:tc>
        <w:tc>
          <w:tcPr>
            <w:tcW w:type="dxa" w:w="2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Council</w:t>
            </w:r>
          </w:p>
        </w:tc>
        <w:tc>
          <w:tcPr>
            <w:tcW w:type="dxa" w:w="18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Stewards</w:t>
            </w:r>
          </w:p>
        </w:tc>
      </w:tr>
      <w:tr>
        <w:tc>
          <w:tcPr>
            <w:tcW w:type="dxa" w:w="34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Policy exception or waiver</w:t>
            </w:r>
          </w:p>
        </w:tc>
        <w:tc>
          <w:tcPr>
            <w:tcW w:type="dxa" w:w="18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Owner</w:t>
            </w:r>
          </w:p>
        </w:tc>
        <w:tc>
          <w:tcPr>
            <w:tcW w:type="dxa" w:w="2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Council</w:t>
            </w:r>
          </w:p>
        </w:tc>
        <w:tc>
          <w:tcPr>
            <w:tcW w:type="dxa" w:w="18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Risk, Compliance</w:t>
            </w:r>
          </w:p>
        </w:tc>
      </w:tr>
    </w:tbl>
    <w:p>
      <w:pPr>
        <w:pStyle w:val="Heading2"/>
      </w:pPr>
      <w:r>
        <w:t xml:space="preserve">3.2 Lifecycle management</w:t>
      </w:r>
    </w:p>
    <w:p>
      <w:pPr>
        <w:spacing w:after="120"/>
      </w:pPr>
      <w:r>
        <w:t xml:space="preserve">Standardised handling for how data is created, ingested, maintained, archived and sunset, so that ownership and controls follow the data through its life.</w:t>
      </w:r>
    </w:p>
    <w:p>
      <w:pPr>
        <w:pStyle w:val="Heading2"/>
      </w:pPr>
      <w:r>
        <w:t xml:space="preserve">3.3 Issue resolution and SLAs</w:t>
      </w:r>
    </w:p>
    <w:p>
      <w:pPr>
        <w:spacing w:after="120"/>
      </w:pPr>
      <w:r>
        <w:t xml:space="preserve">Data quality and policy breaches follow a documented escalation path with response and resolution targets.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3060"/>
        <w:gridCol w:w="1600"/>
        <w:gridCol w:w="1900"/>
        <w:gridCol w:w="1300"/>
      </w:tblGrid>
      <w:tr>
        <w:trPr>
          <w:tblHeader/>
        </w:trPr>
        <w:tc>
          <w:tcPr>
            <w:tcW w:type="dxa" w:w="15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Severity</w:t>
            </w:r>
          </w:p>
        </w:tc>
        <w:tc>
          <w:tcPr>
            <w:tcW w:type="dxa" w:w="30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Example</w:t>
            </w:r>
          </w:p>
        </w:tc>
        <w:tc>
          <w:tcPr>
            <w:tcW w:type="dxa" w:w="16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Response</w:t>
            </w:r>
          </w:p>
        </w:tc>
        <w:tc>
          <w:tcPr>
            <w:tcW w:type="dxa" w:w="19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Resolution target</w:t>
            </w:r>
          </w:p>
        </w:tc>
        <w:tc>
          <w:tcPr>
            <w:tcW w:type="dxa" w:w="13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Escalates to</w:t>
            </w:r>
          </w:p>
        </w:tc>
      </w:tr>
      <w:tr>
        <w:tc>
          <w:tcPr>
            <w:tcW w:type="dxa" w:w="15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Critical</w:t>
            </w:r>
          </w:p>
        </w:tc>
        <w:tc>
          <w:tcPr>
            <w:tcW w:type="dxa" w:w="30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Regulatory report at risk</w:t>
            </w:r>
          </w:p>
        </w:tc>
        <w:tc>
          <w:tcPr>
            <w:tcW w:type="dxa" w:w="16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1 business day</w:t>
            </w:r>
          </w:p>
        </w:tc>
        <w:tc>
          <w:tcPr>
            <w:tcW w:type="dxa" w:w="19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5 business days</w:t>
            </w:r>
          </w:p>
        </w:tc>
        <w:tc>
          <w:tcPr>
            <w:tcW w:type="dxa" w:w="1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Council</w:t>
            </w:r>
          </w:p>
        </w:tc>
      </w:tr>
      <w:tr>
        <w:tc>
          <w:tcPr>
            <w:tcW w:type="dxa" w:w="15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High</w:t>
            </w:r>
          </w:p>
        </w:tc>
        <w:tc>
          <w:tcPr>
            <w:tcW w:type="dxa" w:w="30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Key KPI is wrong</w:t>
            </w:r>
          </w:p>
        </w:tc>
        <w:tc>
          <w:tcPr>
            <w:tcW w:type="dxa" w:w="16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2 business days</w:t>
            </w:r>
          </w:p>
        </w:tc>
        <w:tc>
          <w:tcPr>
            <w:tcW w:type="dxa" w:w="19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10 business days</w:t>
            </w:r>
          </w:p>
        </w:tc>
        <w:tc>
          <w:tcPr>
            <w:tcW w:type="dxa" w:w="1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Working-group lead</w:t>
            </w:r>
          </w:p>
        </w:tc>
      </w:tr>
      <w:tr>
        <w:tc>
          <w:tcPr>
            <w:tcW w:type="dxa" w:w="15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Medium</w:t>
            </w:r>
          </w:p>
        </w:tc>
        <w:tc>
          <w:tcPr>
            <w:tcW w:type="dxa" w:w="30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Minor field issue</w:t>
            </w:r>
          </w:p>
        </w:tc>
        <w:tc>
          <w:tcPr>
            <w:tcW w:type="dxa" w:w="16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5 business days</w:t>
            </w:r>
          </w:p>
        </w:tc>
        <w:tc>
          <w:tcPr>
            <w:tcW w:type="dxa" w:w="19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Next cycle</w:t>
            </w:r>
          </w:p>
        </w:tc>
        <w:tc>
          <w:tcPr>
            <w:tcW w:type="dxa" w:w="13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Steward</w:t>
            </w:r>
          </w:p>
        </w:tc>
      </w:tr>
    </w:tbl>
    <w:p>
      <w:pPr>
        <w:pStyle w:val="Heading2"/>
      </w:pPr>
      <w:r>
        <w:t xml:space="preserve">3.4 Change management</w:t>
      </w:r>
    </w:p>
    <w:p>
      <w:pPr>
        <w:spacing w:after="120"/>
      </w:pPr>
      <w:r>
        <w:t xml:space="preserve">Any system or business-process change is assessed for its impact on data lineage, controls and reporting before it goes live.</w:t>
      </w:r>
    </w:p>
    <w:p>
      <w:pPr>
        <w:pStyle w:val="Heading1"/>
      </w:pPr>
      <w:r>
        <w:t xml:space="preserve">4. Pillar 3: Standards, policies and controls</w:t>
      </w:r>
    </w:p>
    <w:p>
      <w:pPr>
        <w:pStyle w:val="Heading2"/>
      </w:pPr>
      <w:r>
        <w:t xml:space="preserve">4.1 Policy enforcement</w:t>
      </w:r>
    </w:p>
    <w:p>
      <w:pPr>
        <w:spacing w:after="120"/>
      </w:pPr>
      <w:r>
        <w:t xml:space="preserve">Policies for data classification, privacy and retention are socialised, embedded in process, and monitored for compliance, with exceptions risk-assessed and time-boxed.</w:t>
      </w:r>
    </w:p>
    <w:p>
      <w:pPr>
        <w:pStyle w:val="Heading2"/>
      </w:pPr>
      <w:r>
        <w:t xml:space="preserve">4.2 Quality framework</w:t>
      </w:r>
    </w:p>
    <w:p>
      <w:pPr>
        <w:spacing w:after="120"/>
      </w:pPr>
      <w:r>
        <w:t xml:space="preserve">Data quality is measured against the six dimensions (accuracy, completeness, consistency, validity, uniqueness, timeliness) and reported through KPIs, with a Council scorecard for the enterprise view and working-group KPIs for the operational view.</w:t>
      </w:r>
    </w:p>
    <w:p>
      <w:pPr>
        <w:pStyle w:val="Heading2"/>
      </w:pPr>
      <w:r>
        <w:t xml:space="preserve">4.3 Security and compliance</w:t>
      </w:r>
    </w:p>
    <w:p>
      <w:pPr>
        <w:spacing w:after="120"/>
      </w:pPr>
      <w:r>
        <w:t xml:space="preserve">Technical controls are aligned to regulation (for example FINMA, the EU AI Act, GDPR and Swiss FADP): least-privilege access management, audit trails, and data masking in non-production environments.</w:t>
      </w:r>
    </w:p>
    <w:p>
      <w:pPr>
        <w:pStyle w:val="Heading1"/>
      </w:pPr>
      <w:r>
        <w:t xml:space="preserve">5. Pillar 4: Integration and infrastructure</w:t>
      </w:r>
    </w:p>
    <w:p>
      <w:pPr>
        <w:pStyle w:val="Heading2"/>
      </w:pPr>
      <w:r>
        <w:t xml:space="preserve">5.1 Operational integration (governance as code)</w:t>
      </w:r>
    </w:p>
    <w:p>
      <w:pPr>
        <w:spacing w:after="120"/>
      </w:pPr>
      <w:r>
        <w:t xml:space="preserve">Governance checkpoints are embedded in the delivery lifecycle and data pipelines: data quality tests and data contracts run in CI/CD as a hard gate, so failing data blocks the build rather than reaching a report.</w:t>
      </w:r>
    </w:p>
    <w:p>
      <w:pPr>
        <w:pStyle w:val="Heading2"/>
      </w:pPr>
      <w:r>
        <w:t xml:space="preserve">5.2 Metadata management</w:t>
      </w:r>
    </w:p>
    <w:p>
      <w:pPr>
        <w:spacing w:after="120"/>
      </w:pPr>
      <w:r>
        <w:t xml:space="preserve">A business glossary, data catalog and lineage maps act as the single source of truth, linking business terms to physical data and showing where each value comes from.</w:t>
      </w:r>
    </w:p>
    <w:p>
      <w:pPr>
        <w:pStyle w:val="Heading2"/>
      </w:pPr>
      <w:r>
        <w:t xml:space="preserve">5.3 Reporting and monitoring</w:t>
      </w:r>
    </w:p>
    <w:p>
      <w:pPr>
        <w:spacing w:after="120"/>
      </w:pPr>
      <w:r>
        <w:t xml:space="preserve">Dashboards track the health of data assets and the status of governance initiatives, presented in a business view (is the data trustworthy?) and a data-engineering view (which checks fail and where).</w:t>
      </w:r>
    </w:p>
    <w:p>
      <w:pPr>
        <w:pStyle w:val="Heading1"/>
      </w:pPr>
      <w:r>
        <w:t xml:space="preserve">6. Operating model archetypes</w:t>
      </w:r>
    </w:p>
    <w:p>
      <w:pPr>
        <w:spacing w:after="120"/>
      </w:pPr>
      <w:r>
        <w:t xml:space="preserve">The right structure depends on culture and regulatory environment. Most models fall into one of three archetypes.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3760"/>
        <w:gridCol w:w="3700"/>
      </w:tblGrid>
      <w:tr>
        <w:trPr>
          <w:tblHeader/>
        </w:trPr>
        <w:tc>
          <w:tcPr>
            <w:tcW w:type="dxa" w:w="19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Model</w:t>
            </w:r>
          </w:p>
        </w:tc>
        <w:tc>
          <w:tcPr>
            <w:tcW w:type="dxa" w:w="37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Decision authority</w:t>
            </w:r>
          </w:p>
        </w:tc>
        <w:tc>
          <w:tcPr>
            <w:tcW w:type="dxa" w:w="37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Best suited for</w:t>
            </w:r>
          </w:p>
        </w:tc>
      </w:tr>
      <w:tr>
        <w:tc>
          <w:tcPr>
            <w:tcW w:type="dxa" w:w="19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Centralized</w:t>
            </w:r>
          </w:p>
        </w:tc>
        <w:tc>
          <w:tcPr>
            <w:tcW w:type="dxa" w:w="37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 central team sets and enforces all rules</w:t>
            </w:r>
          </w:p>
        </w:tc>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Highly regulated settings, early-stage programmes, or smaller firms</w:t>
            </w:r>
          </w:p>
        </w:tc>
      </w:tr>
      <w:tr>
        <w:tc>
          <w:tcPr>
            <w:tcW w:type="dxa" w:w="19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Decentralized</w:t>
            </w:r>
          </w:p>
        </w:tc>
        <w:tc>
          <w:tcPr>
            <w:tcW w:type="dxa" w:w="37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Business units manage their own data domains</w:t>
            </w:r>
          </w:p>
        </w:tc>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Autonomous organisations with mature domains</w:t>
            </w:r>
          </w:p>
        </w:tc>
      </w:tr>
      <w:tr>
        <w:tc>
          <w:tcPr>
            <w:tcW w:type="dxa" w:w="19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Federated</w:t>
            </w:r>
          </w:p>
        </w:tc>
        <w:tc>
          <w:tcPr>
            <w:tcW w:type="dxa" w:w="37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Central standards with distributed domain execution</w:t>
            </w:r>
          </w:p>
        </w:tc>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Large, complex enterprises such as banking and global retail</w:t>
            </w:r>
          </w:p>
        </w:tc>
      </w:tr>
    </w:tbl>
    <w:p>
      <w:pPr>
        <w:spacing w:after="120"/>
      </w:pPr>
      <w:r>
        <w:rPr>
          <w:i/>
          <w:iCs/>
          <w:color w:val="595959"/>
        </w:rPr>
        <w:t xml:space="preserve">For a large, regulated bank I generally recommend a federated model: one set of enterprise standards, executed by accountable domain teams.</w:t>
      </w:r>
    </w:p>
    <w:p>
      <w:pPr>
        <w:pStyle w:val="Heading1"/>
      </w:pPr>
      <w:r>
        <w:t xml:space="preserve">7. How the pieces fit together</w:t>
      </w:r>
    </w:p>
    <w:p>
      <w:pPr>
        <w:spacing w:after="120"/>
      </w:pPr>
      <w:r>
        <w:t xml:space="preserve">This operating model is supported by the rest of the governance and data quality toolkit.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rPr>
          <w:tblHeader/>
        </w:trPr>
        <w:tc>
          <w:tcPr>
            <w:tcW w:type="dxa" w:w="37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Companion artefact</w:t>
            </w:r>
          </w:p>
        </w:tc>
        <w:tc>
          <w:tcPr>
            <w:tcW w:type="dxa" w:w="56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Role in the operating model</w:t>
            </w:r>
          </w:p>
        </w:tc>
      </w:tr>
      <w:tr>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RACI matrix (workbook)</w:t>
            </w:r>
          </w:p>
        </w:tc>
        <w:tc>
          <w:tcPr>
            <w:tcW w:type="dxa" w:w="56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Activity-level accountabilities (Pillar 1)</w:t>
            </w:r>
          </w:p>
        </w:tc>
      </w:tr>
      <w:tr>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Terms of Reference</w:t>
            </w:r>
          </w:p>
        </w:tc>
        <w:tc>
          <w:tcPr>
            <w:tcW w:type="dxa" w:w="56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Charters each governing body (Pillar 1)</w:t>
            </w:r>
          </w:p>
        </w:tc>
      </w:tr>
      <w:tr>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Governance Policy</w:t>
            </w:r>
          </w:p>
        </w:tc>
        <w:tc>
          <w:tcPr>
            <w:tcW w:type="dxa" w:w="56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The enforceable rules (Pillar 3)</w:t>
            </w:r>
          </w:p>
        </w:tc>
      </w:tr>
      <w:tr>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Council and working-group KPI scorecards</w:t>
            </w:r>
          </w:p>
        </w:tc>
        <w:tc>
          <w:tcPr>
            <w:tcW w:type="dxa" w:w="56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Performance measurement (Pillar 3)</w:t>
            </w:r>
          </w:p>
        </w:tc>
      </w:tr>
      <w:tr>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DQ rules library and check engine</w:t>
            </w:r>
          </w:p>
        </w:tc>
        <w:tc>
          <w:tcPr>
            <w:tcW w:type="dxa" w:w="56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How quality is measured and enforced (Pillars 3 and 4)</w:t>
            </w:r>
          </w:p>
        </w:tc>
      </w:tr>
      <w:tr>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catalog and lineage</w:t>
            </w:r>
          </w:p>
        </w:tc>
        <w:tc>
          <w:tcPr>
            <w:tcW w:type="dxa" w:w="56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Single source of truth (Pillar 4)</w:t>
            </w:r>
          </w:p>
        </w:tc>
      </w:tr>
      <w:tr>
        <w:tc>
          <w:tcPr>
            <w:tcW w:type="dxa" w:w="37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DQ dashboard (business and engineering)</w:t>
            </w:r>
          </w:p>
        </w:tc>
        <w:tc>
          <w:tcPr>
            <w:tcW w:type="dxa" w:w="56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Reporting and monitoring (Pillar 4)</w:t>
            </w:r>
          </w:p>
        </w:tc>
      </w:tr>
    </w:tbl>
    <w:p>
      <w:pPr>
        <w:pStyle w:val="Heading1"/>
      </w:pPr>
      <w:r>
        <w:t xml:space="preserve">8. Ownership and review</w:t>
      </w:r>
    </w:p>
    <w:p>
      <w:pPr>
        <w:spacing w:after="120"/>
      </w:pPr>
      <w:r>
        <w:t xml:space="preserve">The Data Governance Council owns this operating model. It is reviewed at least annually, or sooner following significant regulatory, organisational or technology change.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Bernard Millet, Data Management Portfolio      Page </w:t>
    </w: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2"/>
      </w:pBdr>
      <w:jc w:val="right"/>
    </w:pPr>
    <w:r>
      <w:rPr>
        <w:color w:val="595959"/>
        <w:sz w:val="15"/>
        <w:szCs w:val="15"/>
      </w:rPr>
      <w:t xml:space="preserve">Data Governance Operating Model  |  Work sample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abstractNum w:abstractNumId="3" w15:restartNumberingAfterBreak="0">
    <w:multiLevelType w:val="hybridMultilevel"/>
    <w:lvl w:ilvl="0" w15:tentative="1">
      <w:start w:val="1"/>
      <w:numFmt w:val="decimal"/>
      <w:lvlText w:val="%1."/>
      <w:lvlJc w:val="left"/>
      <w:pPr>
        <w:ind w:left="600" w:hanging="28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5496" w:sz="6" w:space="4"/>
      </w:pBdr>
      <w:spacing w:after="130" w:before="300"/>
      <w:outlineLvl w:val="0"/>
    </w:pPr>
    <w:rPr>
      <w:rFonts w:ascii="Arial" w:cs="Arial" w:eastAsia="Arial" w:hAnsi="Arial"/>
      <w:b/>
      <w:bCs/>
      <w:color w:val="1F3864"/>
      <w:sz w:val="28"/>
      <w:szCs w:val="28"/>
    </w:rPr>
  </w:style>
  <w:style w:type="paragraph" w:styleId="Heading2">
    <w:name w:val="Heading 2"/>
    <w:basedOn w:val="Normal"/>
    <w:next w:val="Normal"/>
    <w:qFormat/>
    <w:pPr>
      <w:spacing w:after="80" w:before="200"/>
      <w:outlineLvl w:val="1"/>
    </w:pPr>
    <w:rPr>
      <w:rFonts w:ascii="Arial" w:cs="Arial" w:eastAsia="Arial" w:hAnsi="Arial"/>
      <w:b/>
      <w:bCs/>
      <w:color w:val="2E549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2026-06-29T21:58:02.059Z</dcterms:created>
  <dcterms:modified xsi:type="dcterms:W3CDTF">2026-06-29T21:58:02.060Z</dcterms:modified>
</cp:coreProperties>
</file>

<file path=docProps/custom.xml><?xml version="1.0" encoding="utf-8"?>
<Properties xmlns="http://schemas.openxmlformats.org/officeDocument/2006/custom-properties" xmlns:vt="http://schemas.openxmlformats.org/officeDocument/2006/docPropsVTypes"/>
</file>