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200"/>
      </w:pPr>
      <w:r>
        <w:rPr>
          <w:b/>
          <w:bCs/>
          <w:color w:val="3B82C4"/>
          <w:sz w:val="18"/>
          <w:szCs w:val="18"/>
        </w:rPr>
        <w:t xml:space="preserve">DATA GOVERNANCE TEMPLATE</w:t>
      </w:r>
    </w:p>
    <w:p>
      <w:pPr>
        <w:spacing w:before="760"/>
      </w:pPr>
      <w:r>
        <w:rPr>
          <w:b/>
          <w:bCs/>
          <w:color w:val="1F3864"/>
          <w:sz w:val="44"/>
          <w:szCs w:val="44"/>
        </w:rPr>
        <w:t xml:space="preserve">Data Governance KPIs</w:t>
      </w:r>
    </w:p>
    <w:p>
      <w:pPr>
        <w:pBdr>
          <w:bottom w:val="single" w:color="2E5496" w:sz="12" w:space="6"/>
        </w:pBdr>
        <w:spacing w:after="60" w:before="120"/>
      </w:pPr>
      <w:r>
        <w:rPr>
          <w:color w:val="2E5496"/>
          <w:sz w:val="24"/>
          <w:szCs w:val="24"/>
        </w:rPr>
        <w:t xml:space="preserve">Working-group (operational) scorecard</w:t>
      </w:r>
    </w:p>
    <w:p>
      <w:pPr>
        <w:pBdr>
          <w:left w:val="single" w:color="3B82C4" w:sz="18" w:space="12"/>
        </w:pBdr>
        <w:shd w:fill="F3F7FD" w:val="clear"/>
        <w:spacing w:after="200" w:before="360"/>
      </w:pPr>
      <w:r>
        <w:rPr>
          <w:i/>
          <w:iCs/>
          <w:color w:val="33414F"/>
          <w:sz w:val="20"/>
          <w:szCs w:val="20"/>
        </w:rPr>
        <w:t xml:space="preserve">An example catalogue of operational data governance KPIs owned and validated by the domain working groups. They track day-to-day data quality and stewardship, and they feed the enterprise KPIs reported to the Council.</w:t>
      </w:r>
    </w:p>
    <w:p>
      <w:pPr>
        <w:spacing w:before="460"/>
      </w:pPr>
      <w:r>
        <w:rPr>
          <w:b/>
          <w:bCs/>
          <w:color w:val="595959"/>
          <w:sz w:val="22"/>
          <w:szCs w:val="22"/>
        </w:rPr>
        <w:t xml:space="preserve">About this catalogue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Field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Value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Author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Bernard Millet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Artefact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Data governance KPI catalogue (example)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Data domain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Data Governance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Validated by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Domain data working groups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Purpose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Operational data quality and stewardship KPIs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Status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Example proposal, targets to be ratified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Version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1.0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Classification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Public</w:t>
            </w:r>
          </w:p>
        </w:tc>
      </w:tr>
    </w:tbl>
    <w:p>
      <w:pPr>
        <w:spacing w:before="220"/>
      </w:pPr>
      <w:r>
        <w:rPr>
          <w:i/>
          <w:iCs/>
          <w:color w:val="595959"/>
          <w:sz w:val="16"/>
          <w:szCs w:val="16"/>
        </w:rPr>
        <w:t xml:space="preserve">Targets shown are illustrative starting points. Adjust them to your baseline and have them ratified before use.</w:t>
      </w:r>
    </w:p>
    <w:p>
      <w:pPr>
        <w:pageBreakBefore/>
      </w:pPr>
    </w:p>
    <w:p>
      <w:pPr>
        <w:pStyle w:val="Heading1"/>
      </w:pPr>
      <w:r>
        <w:t xml:space="preserve">1. How these KPIs work</w:t>
      </w:r>
    </w:p>
    <w:p>
      <w:pPr>
        <w:spacing w:after="120"/>
      </w:pPr>
      <w:r>
        <w:t xml:space="preserve">Each domain working group owns the operational KPIs for its data. The first six follow the DAMA data quality dimensions; the rest cover stewardship in practice. The working group sets and ratifies the targets per domain, monitors them frequently, and escalates to the Council anything that breaches a critical threshold.</w:t>
      </w:r>
    </w:p>
    <w:p>
      <w:pPr>
        <w:pStyle w:val="Heading1"/>
      </w:pPr>
      <w:r>
        <w:t xml:space="preserve">2. Data quality dimensions (DAMA)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4500"/>
        <w:gridCol w:w="1500"/>
        <w:gridCol w:w="1060"/>
      </w:tblGrid>
      <w:tr>
        <w:trPr>
          <w:tblHeader/>
        </w:trP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KPI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Definition and how it is measured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Example target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Frequency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Completeness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Share of critical fields that are populated (not null)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at least 98%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Weekly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Accuracy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Share of records that match a trusted source or pass validation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at least 97%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Monthly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Validity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Share of values that conform to the expected format and domain rules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at least 98%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Weekly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Uniqueness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Share of records free of duplicates (one minus the duplicate rate)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at least 99.5%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Weekly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Consistency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Share of records that pass cross-field and cross-system rules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at least 99%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Weekly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Timeliness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Share of datasets refreshed within their freshness SLA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within SLA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Daily</w:t>
            </w:r>
          </w:p>
        </w:tc>
      </w:tr>
    </w:tbl>
    <w:p>
      <w:pPr>
        <w:pStyle w:val="Heading1"/>
      </w:pPr>
      <w:r>
        <w:t xml:space="preserve">3. Stewardship and operations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4500"/>
        <w:gridCol w:w="1500"/>
        <w:gridCol w:w="1060"/>
      </w:tblGrid>
      <w:tr>
        <w:trPr>
          <w:tblHeader/>
        </w:trP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KPI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Definition and how it is measured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Example target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Frequency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Issue resolution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Share of data quality issues closed within their agreed SLA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at least 90%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Monthly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Remediation backlog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Number and ageing of open data quality items in the domain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downward trend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Monthly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Catalog coverage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Share of critical data elements documented in the catalog (definition, owner, classification)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at least 95%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Quarterly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Access recertification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Share of scheduled access reviews completed on time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100%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Quarterly</w:t>
            </w:r>
          </w:p>
        </w:tc>
      </w:tr>
    </w:tbl>
    <w:p>
      <w:pPr>
        <w:pStyle w:val="Heading1"/>
      </w:pPr>
      <w:r>
        <w:t xml:space="preserve">4. Ratification</w:t>
      </w:r>
    </w:p>
    <w:p>
      <w:pPr>
        <w:spacing w:after="120"/>
      </w:pPr>
      <w:r>
        <w:rPr>
          <w:i/>
          <w:iCs/>
          <w:color w:val="595959"/>
          <w:sz w:val="19"/>
          <w:szCs w:val="19"/>
        </w:rPr>
        <w:t xml:space="preserve">Record the working group's approval of this KPI set and its targets.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1960"/>
      </w:tblGrid>
      <w:tr>
        <w:trPr>
          <w:tblHeader/>
        </w:trPr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Approved by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Role / domain</w:t>
            </w:r>
          </w:p>
        </w:tc>
        <w:tc>
          <w:tcPr>
            <w:tcW w:type="dxa" w:w="1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[ ]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[ ]</w:t>
            </w:r>
          </w:p>
        </w:tc>
        <w:tc>
          <w:tcPr>
            <w:tcW w:type="dxa" w:w="1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[ ]</w:t>
            </w:r>
          </w:p>
        </w:tc>
      </w:tr>
      <w:tr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[ ]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[ ]</w:t>
            </w:r>
          </w:p>
        </w:tc>
        <w:tc>
          <w:tcPr>
            <w:tcW w:type="dxa" w:w="1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[ ]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95959"/>
        <w:sz w:val="16"/>
        <w:szCs w:val="16"/>
      </w:rPr>
      <w:t xml:space="preserve">Bernard Millet, Data Management Portfolio      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2"/>
      </w:pBdr>
      <w:jc w:val="right"/>
    </w:pPr>
    <w:r>
      <w:rPr>
        <w:color w:val="595959"/>
        <w:sz w:val="15"/>
        <w:szCs w:val="15"/>
      </w:rPr>
      <w:t xml:space="preserve">Data Governance KPIs (Working group)  | 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22222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5496" w:sz="6" w:space="4"/>
      </w:pBdr>
      <w:spacing w:after="140" w:before="300"/>
      <w:outlineLvl w:val="0"/>
    </w:pPr>
    <w:rPr>
      <w:rFonts w:ascii="Arial" w:cs="Arial" w:eastAsia="Arial" w:hAnsi="Arial"/>
      <w:b/>
      <w:bCs/>
      <w:color w:val="1F3864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color w:val="2E5496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2026-06-29T19:41:03.393Z</dcterms:created>
  <dcterms:modified xsi:type="dcterms:W3CDTF">2026-06-29T19:41:03.393Z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