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0" w:before="200"/>
      </w:pPr>
      <w:r>
        <w:rPr>
          <w:b/>
          <w:bCs/>
          <w:color w:val="3B82C4"/>
          <w:sz w:val="18"/>
          <w:szCs w:val="18"/>
        </w:rPr>
        <w:t xml:space="preserve">DATA GOVERNANCE TEMPLATE</w:t>
      </w:r>
    </w:p>
    <w:p>
      <w:pPr>
        <w:spacing w:before="760"/>
      </w:pPr>
      <w:r>
        <w:rPr>
          <w:b/>
          <w:bCs/>
          <w:color w:val="1F3864"/>
          <w:sz w:val="44"/>
          <w:szCs w:val="44"/>
        </w:rPr>
        <w:t xml:space="preserve">Data Governance KPIs</w:t>
      </w:r>
    </w:p>
    <w:p>
      <w:pPr>
        <w:pBdr>
          <w:bottom w:val="single" w:color="2E5496" w:sz="12" w:space="6"/>
        </w:pBdr>
        <w:spacing w:after="60" w:before="120"/>
      </w:pPr>
      <w:r>
        <w:rPr>
          <w:color w:val="2E5496"/>
          <w:sz w:val="24"/>
          <w:szCs w:val="24"/>
        </w:rPr>
        <w:t xml:space="preserve">Council-approved (strategic) scorecard</w:t>
      </w:r>
    </w:p>
    <w:p>
      <w:pPr>
        <w:pBdr>
          <w:left w:val="single" w:color="3B82C4" w:sz="18" w:space="12"/>
        </w:pBdr>
        <w:shd w:fill="F3F7FD" w:val="clear"/>
        <w:spacing w:after="200" w:before="360"/>
      </w:pPr>
      <w:r>
        <w:rPr>
          <w:i/>
          <w:iCs/>
          <w:color w:val="33414F"/>
          <w:sz w:val="20"/>
          <w:szCs w:val="20"/>
        </w:rPr>
        <w:t xml:space="preserve">An example catalogue of strategic, enterprise-level data governance KPIs for ratification by the Data Governance Council. They are outcome and risk oriented, aggregate the underlying operational metrics, and are reported to leadership.</w:t>
      </w:r>
    </w:p>
    <w:p>
      <w:pPr>
        <w:spacing w:before="460"/>
      </w:pPr>
      <w:r>
        <w:rPr>
          <w:b/>
          <w:bCs/>
          <w:color w:val="595959"/>
          <w:sz w:val="22"/>
          <w:szCs w:val="22"/>
        </w:rPr>
        <w:t xml:space="preserve">About this catalogue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0"/>
        <w:gridCol w:w="6360"/>
      </w:tblGrid>
      <w:tr>
        <w:trPr>
          <w:tblHeader/>
        </w:trPr>
        <w:tc>
          <w:tcPr>
            <w:tcW w:type="dxa" w:w="30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2E5496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  <w:color w:val="FFFFFF"/>
                <w:sz w:val="18"/>
                <w:szCs w:val="18"/>
              </w:rPr>
              <w:t xml:space="preserve">Field</w:t>
            </w:r>
          </w:p>
        </w:tc>
        <w:tc>
          <w:tcPr>
            <w:tcW w:type="dxa" w:w="636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2E5496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  <w:color w:val="FFFFFF"/>
                <w:sz w:val="18"/>
                <w:szCs w:val="18"/>
              </w:rPr>
              <w:t xml:space="preserve">Value</w:t>
            </w:r>
          </w:p>
        </w:tc>
      </w:tr>
      <w:tr>
        <w:tc>
          <w:tcPr>
            <w:tcW w:type="dxa" w:w="30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color w:val="222222"/>
                <w:sz w:val="18"/>
                <w:szCs w:val="18"/>
              </w:rPr>
              <w:t xml:space="preserve">Author</w:t>
            </w:r>
          </w:p>
        </w:tc>
        <w:tc>
          <w:tcPr>
            <w:tcW w:type="dxa" w:w="636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color w:val="222222"/>
                <w:sz w:val="18"/>
                <w:szCs w:val="18"/>
              </w:rPr>
              <w:t xml:space="preserve">Bernard Millet</w:t>
            </w:r>
          </w:p>
        </w:tc>
      </w:tr>
      <w:tr>
        <w:tc>
          <w:tcPr>
            <w:tcW w:type="dxa" w:w="30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color w:val="222222"/>
                <w:sz w:val="18"/>
                <w:szCs w:val="18"/>
              </w:rPr>
              <w:t xml:space="preserve">Artefact</w:t>
            </w:r>
          </w:p>
        </w:tc>
        <w:tc>
          <w:tcPr>
            <w:tcW w:type="dxa" w:w="636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color w:val="222222"/>
                <w:sz w:val="18"/>
                <w:szCs w:val="18"/>
              </w:rPr>
              <w:t xml:space="preserve">Data governance KPI catalogue (example)</w:t>
            </w:r>
          </w:p>
        </w:tc>
      </w:tr>
      <w:tr>
        <w:tc>
          <w:tcPr>
            <w:tcW w:type="dxa" w:w="30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color w:val="222222"/>
                <w:sz w:val="18"/>
                <w:szCs w:val="18"/>
              </w:rPr>
              <w:t xml:space="preserve">Data domain</w:t>
            </w:r>
          </w:p>
        </w:tc>
        <w:tc>
          <w:tcPr>
            <w:tcW w:type="dxa" w:w="636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color w:val="222222"/>
                <w:sz w:val="18"/>
                <w:szCs w:val="18"/>
              </w:rPr>
              <w:t xml:space="preserve">Data Governance</w:t>
            </w:r>
          </w:p>
        </w:tc>
      </w:tr>
      <w:tr>
        <w:tc>
          <w:tcPr>
            <w:tcW w:type="dxa" w:w="30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color w:val="222222"/>
                <w:sz w:val="18"/>
                <w:szCs w:val="18"/>
              </w:rPr>
              <w:t xml:space="preserve">Validated by</w:t>
            </w:r>
          </w:p>
        </w:tc>
        <w:tc>
          <w:tcPr>
            <w:tcW w:type="dxa" w:w="636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color w:val="222222"/>
                <w:sz w:val="18"/>
                <w:szCs w:val="18"/>
              </w:rPr>
              <w:t xml:space="preserve">Data Governance Council</w:t>
            </w:r>
          </w:p>
        </w:tc>
      </w:tr>
      <w:tr>
        <w:tc>
          <w:tcPr>
            <w:tcW w:type="dxa" w:w="30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color w:val="222222"/>
                <w:sz w:val="18"/>
                <w:szCs w:val="18"/>
              </w:rPr>
              <w:t xml:space="preserve">Purpose</w:t>
            </w:r>
          </w:p>
        </w:tc>
        <w:tc>
          <w:tcPr>
            <w:tcW w:type="dxa" w:w="636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color w:val="222222"/>
                <w:sz w:val="18"/>
                <w:szCs w:val="18"/>
              </w:rPr>
              <w:t xml:space="preserve">Strategic, enterprise-level KPIs reported to leadership</w:t>
            </w:r>
          </w:p>
        </w:tc>
      </w:tr>
      <w:tr>
        <w:tc>
          <w:tcPr>
            <w:tcW w:type="dxa" w:w="30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color w:val="222222"/>
                <w:sz w:val="18"/>
                <w:szCs w:val="18"/>
              </w:rPr>
              <w:t xml:space="preserve">Status</w:t>
            </w:r>
          </w:p>
        </w:tc>
        <w:tc>
          <w:tcPr>
            <w:tcW w:type="dxa" w:w="636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color w:val="222222"/>
                <w:sz w:val="18"/>
                <w:szCs w:val="18"/>
              </w:rPr>
              <w:t xml:space="preserve">Example proposal, targets to be ratified</w:t>
            </w:r>
          </w:p>
        </w:tc>
      </w:tr>
      <w:tr>
        <w:tc>
          <w:tcPr>
            <w:tcW w:type="dxa" w:w="30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color w:val="222222"/>
                <w:sz w:val="18"/>
                <w:szCs w:val="18"/>
              </w:rPr>
              <w:t xml:space="preserve">Version</w:t>
            </w:r>
          </w:p>
        </w:tc>
        <w:tc>
          <w:tcPr>
            <w:tcW w:type="dxa" w:w="636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color w:val="222222"/>
                <w:sz w:val="18"/>
                <w:szCs w:val="18"/>
              </w:rPr>
              <w:t xml:space="preserve">1.0</w:t>
            </w:r>
          </w:p>
        </w:tc>
      </w:tr>
      <w:tr>
        <w:tc>
          <w:tcPr>
            <w:tcW w:type="dxa" w:w="30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color w:val="222222"/>
                <w:sz w:val="18"/>
                <w:szCs w:val="18"/>
              </w:rPr>
              <w:t xml:space="preserve">Classification</w:t>
            </w:r>
          </w:p>
        </w:tc>
        <w:tc>
          <w:tcPr>
            <w:tcW w:type="dxa" w:w="636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color w:val="222222"/>
                <w:sz w:val="18"/>
                <w:szCs w:val="18"/>
              </w:rPr>
              <w:t xml:space="preserve">Public</w:t>
            </w:r>
          </w:p>
        </w:tc>
      </w:tr>
    </w:tbl>
    <w:p>
      <w:pPr>
        <w:spacing w:before="220"/>
      </w:pPr>
      <w:r>
        <w:rPr>
          <w:i/>
          <w:iCs/>
          <w:color w:val="595959"/>
          <w:sz w:val="16"/>
          <w:szCs w:val="16"/>
        </w:rPr>
        <w:t xml:space="preserve">Targets shown are illustrative starting points. Adjust them to your baseline and have them ratified before use.</w:t>
      </w:r>
    </w:p>
    <w:p>
      <w:pPr>
        <w:pageBreakBefore/>
      </w:pPr>
    </w:p>
    <w:p>
      <w:pPr>
        <w:pStyle w:val="Heading1"/>
      </w:pPr>
      <w:r>
        <w:t xml:space="preserve">1. How these KPIs work</w:t>
      </w:r>
    </w:p>
    <w:p>
      <w:pPr>
        <w:spacing w:after="120"/>
      </w:pPr>
      <w:r>
        <w:t xml:space="preserve">The Council owns a small set of strategic KPIs that answer one question for leadership: is data trusted, governed and compliant? Each one rolls up the operational metrics that the domain working groups track day to day. The Council ratifies the targets, reviews performance on a regular cadence, and arbitrates where targets are missed.</w:t>
      </w:r>
    </w:p>
    <w:p>
      <w:pPr>
        <w:pStyle w:val="Heading1"/>
      </w:pPr>
      <w:r>
        <w:t xml:space="preserve">2. Coverage and accountability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300"/>
        <w:gridCol w:w="4500"/>
        <w:gridCol w:w="1500"/>
        <w:gridCol w:w="1060"/>
      </w:tblGrid>
      <w:tr>
        <w:trPr>
          <w:tblHeader/>
        </w:trPr>
        <w:tc>
          <w:tcPr>
            <w:tcW w:type="dxa" w:w="23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2E5496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  <w:color w:val="FFFFFF"/>
                <w:sz w:val="18"/>
                <w:szCs w:val="18"/>
              </w:rPr>
              <w:t xml:space="preserve">KPI</w:t>
            </w:r>
          </w:p>
        </w:tc>
        <w:tc>
          <w:tcPr>
            <w:tcW w:type="dxa" w:w="45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2E5496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  <w:color w:val="FFFFFF"/>
                <w:sz w:val="18"/>
                <w:szCs w:val="18"/>
              </w:rPr>
              <w:t xml:space="preserve">Definition and how it is measured</w:t>
            </w:r>
          </w:p>
        </w:tc>
        <w:tc>
          <w:tcPr>
            <w:tcW w:type="dxa" w:w="15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2E5496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  <w:color w:val="FFFFFF"/>
                <w:sz w:val="18"/>
                <w:szCs w:val="18"/>
              </w:rPr>
              <w:t xml:space="preserve">Example target</w:t>
            </w:r>
          </w:p>
        </w:tc>
        <w:tc>
          <w:tcPr>
            <w:tcW w:type="dxa" w:w="106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2E5496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  <w:color w:val="FFFFFF"/>
                <w:sz w:val="18"/>
                <w:szCs w:val="18"/>
              </w:rPr>
              <w:t xml:space="preserve">Frequency</w:t>
            </w:r>
          </w:p>
        </w:tc>
      </w:tr>
      <w:tr>
        <w:tc>
          <w:tcPr>
            <w:tcW w:type="dxa" w:w="23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color w:val="222222"/>
                <w:sz w:val="18"/>
                <w:szCs w:val="18"/>
              </w:rPr>
              <w:t xml:space="preserve">Critical data elements governed</w:t>
            </w:r>
          </w:p>
        </w:tc>
        <w:tc>
          <w:tcPr>
            <w:tcW w:type="dxa" w:w="45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color w:val="222222"/>
                <w:sz w:val="18"/>
                <w:szCs w:val="18"/>
              </w:rPr>
              <w:t xml:space="preserve">Share of critical data elements that have an assigned owner and an approved business definition</w:t>
            </w:r>
          </w:p>
        </w:tc>
        <w:tc>
          <w:tcPr>
            <w:tcW w:type="dxa" w:w="15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color w:val="222222"/>
                <w:sz w:val="18"/>
                <w:szCs w:val="18"/>
              </w:rPr>
              <w:t xml:space="preserve">at least 95%</w:t>
            </w:r>
          </w:p>
        </w:tc>
        <w:tc>
          <w:tcPr>
            <w:tcW w:type="dxa" w:w="106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color w:val="222222"/>
                <w:sz w:val="18"/>
                <w:szCs w:val="18"/>
              </w:rPr>
              <w:t xml:space="preserve">Quarterly</w:t>
            </w:r>
          </w:p>
        </w:tc>
      </w:tr>
      <w:tr>
        <w:tc>
          <w:tcPr>
            <w:tcW w:type="dxa" w:w="23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color w:val="222222"/>
                <w:sz w:val="18"/>
                <w:szCs w:val="18"/>
              </w:rPr>
              <w:t xml:space="preserve">Domains with active stewardship</w:t>
            </w:r>
          </w:p>
        </w:tc>
        <w:tc>
          <w:tcPr>
            <w:tcW w:type="dxa" w:w="45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color w:val="222222"/>
                <w:sz w:val="18"/>
                <w:szCs w:val="18"/>
              </w:rPr>
              <w:t xml:space="preserve">Share of in-scope data domains with a named steward represented on the Council</w:t>
            </w:r>
          </w:p>
        </w:tc>
        <w:tc>
          <w:tcPr>
            <w:tcW w:type="dxa" w:w="15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color w:val="222222"/>
                <w:sz w:val="18"/>
                <w:szCs w:val="18"/>
              </w:rPr>
              <w:t xml:space="preserve">100%</w:t>
            </w:r>
          </w:p>
        </w:tc>
        <w:tc>
          <w:tcPr>
            <w:tcW w:type="dxa" w:w="106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color w:val="222222"/>
                <w:sz w:val="18"/>
                <w:szCs w:val="18"/>
              </w:rPr>
              <w:t xml:space="preserve">Quarterly</w:t>
            </w:r>
          </w:p>
        </w:tc>
      </w:tr>
    </w:tbl>
    <w:p>
      <w:pPr>
        <w:pStyle w:val="Heading1"/>
      </w:pPr>
      <w:r>
        <w:t xml:space="preserve">3. Enterprise data quality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300"/>
        <w:gridCol w:w="4500"/>
        <w:gridCol w:w="1500"/>
        <w:gridCol w:w="1060"/>
      </w:tblGrid>
      <w:tr>
        <w:trPr>
          <w:tblHeader/>
        </w:trPr>
        <w:tc>
          <w:tcPr>
            <w:tcW w:type="dxa" w:w="23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2E5496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  <w:color w:val="FFFFFF"/>
                <w:sz w:val="18"/>
                <w:szCs w:val="18"/>
              </w:rPr>
              <w:t xml:space="preserve">KPI</w:t>
            </w:r>
          </w:p>
        </w:tc>
        <w:tc>
          <w:tcPr>
            <w:tcW w:type="dxa" w:w="45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2E5496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  <w:color w:val="FFFFFF"/>
                <w:sz w:val="18"/>
                <w:szCs w:val="18"/>
              </w:rPr>
              <w:t xml:space="preserve">Definition and how it is measured</w:t>
            </w:r>
          </w:p>
        </w:tc>
        <w:tc>
          <w:tcPr>
            <w:tcW w:type="dxa" w:w="15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2E5496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  <w:color w:val="FFFFFF"/>
                <w:sz w:val="18"/>
                <w:szCs w:val="18"/>
              </w:rPr>
              <w:t xml:space="preserve">Example target</w:t>
            </w:r>
          </w:p>
        </w:tc>
        <w:tc>
          <w:tcPr>
            <w:tcW w:type="dxa" w:w="106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2E5496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  <w:color w:val="FFFFFF"/>
                <w:sz w:val="18"/>
                <w:szCs w:val="18"/>
              </w:rPr>
              <w:t xml:space="preserve">Frequency</w:t>
            </w:r>
          </w:p>
        </w:tc>
      </w:tr>
      <w:tr>
        <w:tc>
          <w:tcPr>
            <w:tcW w:type="dxa" w:w="23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color w:val="222222"/>
                <w:sz w:val="18"/>
                <w:szCs w:val="18"/>
              </w:rPr>
              <w:t xml:space="preserve">Enterprise data quality score</w:t>
            </w:r>
          </w:p>
        </w:tc>
        <w:tc>
          <w:tcPr>
            <w:tcW w:type="dxa" w:w="45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color w:val="222222"/>
                <w:sz w:val="18"/>
                <w:szCs w:val="18"/>
              </w:rPr>
              <w:t xml:space="preserve">Severity-weighted average data quality score across critical datasets</w:t>
            </w:r>
          </w:p>
        </w:tc>
        <w:tc>
          <w:tcPr>
            <w:tcW w:type="dxa" w:w="15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color w:val="222222"/>
                <w:sz w:val="18"/>
                <w:szCs w:val="18"/>
              </w:rPr>
              <w:t xml:space="preserve">at least 98%</w:t>
            </w:r>
          </w:p>
        </w:tc>
        <w:tc>
          <w:tcPr>
            <w:tcW w:type="dxa" w:w="106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color w:val="222222"/>
                <w:sz w:val="18"/>
                <w:szCs w:val="18"/>
              </w:rPr>
              <w:t xml:space="preserve">Monthly</w:t>
            </w:r>
          </w:p>
        </w:tc>
      </w:tr>
      <w:tr>
        <w:tc>
          <w:tcPr>
            <w:tcW w:type="dxa" w:w="23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color w:val="222222"/>
                <w:sz w:val="18"/>
                <w:szCs w:val="18"/>
              </w:rPr>
              <w:t xml:space="preserve">Critical issues beyond SLA</w:t>
            </w:r>
          </w:p>
        </w:tc>
        <w:tc>
          <w:tcPr>
            <w:tcW w:type="dxa" w:w="45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color w:val="222222"/>
                <w:sz w:val="18"/>
                <w:szCs w:val="18"/>
              </w:rPr>
              <w:t xml:space="preserve">Number of high-severity data issues open past their agreed resolution deadline</w:t>
            </w:r>
          </w:p>
        </w:tc>
        <w:tc>
          <w:tcPr>
            <w:tcW w:type="dxa" w:w="15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color w:val="222222"/>
                <w:sz w:val="18"/>
                <w:szCs w:val="18"/>
              </w:rPr>
              <w:t xml:space="preserve">0</w:t>
            </w:r>
          </w:p>
        </w:tc>
        <w:tc>
          <w:tcPr>
            <w:tcW w:type="dxa" w:w="106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color w:val="222222"/>
                <w:sz w:val="18"/>
                <w:szCs w:val="18"/>
              </w:rPr>
              <w:t xml:space="preserve">Monthly</w:t>
            </w:r>
          </w:p>
        </w:tc>
      </w:tr>
    </w:tbl>
    <w:p>
      <w:pPr>
        <w:pStyle w:val="Heading1"/>
      </w:pPr>
      <w:r>
        <w:t xml:space="preserve">4. Compliance and risk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300"/>
        <w:gridCol w:w="4500"/>
        <w:gridCol w:w="1500"/>
        <w:gridCol w:w="1060"/>
      </w:tblGrid>
      <w:tr>
        <w:trPr>
          <w:tblHeader/>
        </w:trPr>
        <w:tc>
          <w:tcPr>
            <w:tcW w:type="dxa" w:w="23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2E5496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  <w:color w:val="FFFFFF"/>
                <w:sz w:val="18"/>
                <w:szCs w:val="18"/>
              </w:rPr>
              <w:t xml:space="preserve">KPI</w:t>
            </w:r>
          </w:p>
        </w:tc>
        <w:tc>
          <w:tcPr>
            <w:tcW w:type="dxa" w:w="45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2E5496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  <w:color w:val="FFFFFF"/>
                <w:sz w:val="18"/>
                <w:szCs w:val="18"/>
              </w:rPr>
              <w:t xml:space="preserve">Definition and how it is measured</w:t>
            </w:r>
          </w:p>
        </w:tc>
        <w:tc>
          <w:tcPr>
            <w:tcW w:type="dxa" w:w="15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2E5496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  <w:color w:val="FFFFFF"/>
                <w:sz w:val="18"/>
                <w:szCs w:val="18"/>
              </w:rPr>
              <w:t xml:space="preserve">Example target</w:t>
            </w:r>
          </w:p>
        </w:tc>
        <w:tc>
          <w:tcPr>
            <w:tcW w:type="dxa" w:w="106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2E5496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  <w:color w:val="FFFFFF"/>
                <w:sz w:val="18"/>
                <w:szCs w:val="18"/>
              </w:rPr>
              <w:t xml:space="preserve">Frequency</w:t>
            </w:r>
          </w:p>
        </w:tc>
      </w:tr>
      <w:tr>
        <w:tc>
          <w:tcPr>
            <w:tcW w:type="dxa" w:w="23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color w:val="222222"/>
                <w:sz w:val="18"/>
                <w:szCs w:val="18"/>
              </w:rPr>
              <w:t xml:space="preserve">Policy compliance rate</w:t>
            </w:r>
          </w:p>
        </w:tc>
        <w:tc>
          <w:tcPr>
            <w:tcW w:type="dxa" w:w="45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color w:val="222222"/>
                <w:sz w:val="18"/>
                <w:szCs w:val="18"/>
              </w:rPr>
              <w:t xml:space="preserve">Share of data policies and standards adhered to, from audits and recorded exceptions</w:t>
            </w:r>
          </w:p>
        </w:tc>
        <w:tc>
          <w:tcPr>
            <w:tcW w:type="dxa" w:w="15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color w:val="222222"/>
                <w:sz w:val="18"/>
                <w:szCs w:val="18"/>
              </w:rPr>
              <w:t xml:space="preserve">at least 95%</w:t>
            </w:r>
          </w:p>
        </w:tc>
        <w:tc>
          <w:tcPr>
            <w:tcW w:type="dxa" w:w="106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color w:val="222222"/>
                <w:sz w:val="18"/>
                <w:szCs w:val="18"/>
              </w:rPr>
              <w:t xml:space="preserve">Quarterly</w:t>
            </w:r>
          </w:p>
        </w:tc>
      </w:tr>
      <w:tr>
        <w:tc>
          <w:tcPr>
            <w:tcW w:type="dxa" w:w="23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color w:val="222222"/>
                <w:sz w:val="18"/>
                <w:szCs w:val="18"/>
              </w:rPr>
              <w:t xml:space="preserve">Audit findings closed on time</w:t>
            </w:r>
          </w:p>
        </w:tc>
        <w:tc>
          <w:tcPr>
            <w:tcW w:type="dxa" w:w="45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color w:val="222222"/>
                <w:sz w:val="18"/>
                <w:szCs w:val="18"/>
              </w:rPr>
              <w:t xml:space="preserve">Share of data-related audit and regulatory findings remediated within the deadline</w:t>
            </w:r>
          </w:p>
        </w:tc>
        <w:tc>
          <w:tcPr>
            <w:tcW w:type="dxa" w:w="15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color w:val="222222"/>
                <w:sz w:val="18"/>
                <w:szCs w:val="18"/>
              </w:rPr>
              <w:t xml:space="preserve">100%</w:t>
            </w:r>
          </w:p>
        </w:tc>
        <w:tc>
          <w:tcPr>
            <w:tcW w:type="dxa" w:w="106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color w:val="222222"/>
                <w:sz w:val="18"/>
                <w:szCs w:val="18"/>
              </w:rPr>
              <w:t xml:space="preserve">Quarterly</w:t>
            </w:r>
          </w:p>
        </w:tc>
      </w:tr>
    </w:tbl>
    <w:p>
      <w:pPr>
        <w:pStyle w:val="Heading1"/>
      </w:pPr>
      <w:r>
        <w:t xml:space="preserve">5. Adoption, maturity and value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300"/>
        <w:gridCol w:w="4500"/>
        <w:gridCol w:w="1500"/>
        <w:gridCol w:w="1060"/>
      </w:tblGrid>
      <w:tr>
        <w:trPr>
          <w:tblHeader/>
        </w:trPr>
        <w:tc>
          <w:tcPr>
            <w:tcW w:type="dxa" w:w="23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2E5496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  <w:color w:val="FFFFFF"/>
                <w:sz w:val="18"/>
                <w:szCs w:val="18"/>
              </w:rPr>
              <w:t xml:space="preserve">KPI</w:t>
            </w:r>
          </w:p>
        </w:tc>
        <w:tc>
          <w:tcPr>
            <w:tcW w:type="dxa" w:w="45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2E5496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  <w:color w:val="FFFFFF"/>
                <w:sz w:val="18"/>
                <w:szCs w:val="18"/>
              </w:rPr>
              <w:t xml:space="preserve">Definition and how it is measured</w:t>
            </w:r>
          </w:p>
        </w:tc>
        <w:tc>
          <w:tcPr>
            <w:tcW w:type="dxa" w:w="15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2E5496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  <w:color w:val="FFFFFF"/>
                <w:sz w:val="18"/>
                <w:szCs w:val="18"/>
              </w:rPr>
              <w:t xml:space="preserve">Example target</w:t>
            </w:r>
          </w:p>
        </w:tc>
        <w:tc>
          <w:tcPr>
            <w:tcW w:type="dxa" w:w="106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2E5496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  <w:color w:val="FFFFFF"/>
                <w:sz w:val="18"/>
                <w:szCs w:val="18"/>
              </w:rPr>
              <w:t xml:space="preserve">Frequency</w:t>
            </w:r>
          </w:p>
        </w:tc>
      </w:tr>
      <w:tr>
        <w:tc>
          <w:tcPr>
            <w:tcW w:type="dxa" w:w="23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color w:val="222222"/>
                <w:sz w:val="18"/>
                <w:szCs w:val="18"/>
              </w:rPr>
              <w:t xml:space="preserve">Data governance maturity</w:t>
            </w:r>
          </w:p>
        </w:tc>
        <w:tc>
          <w:tcPr>
            <w:tcW w:type="dxa" w:w="45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color w:val="222222"/>
                <w:sz w:val="18"/>
                <w:szCs w:val="18"/>
              </w:rPr>
              <w:t xml:space="preserve">DAMA / CMMI maturity level across the knowledge areas, scored 1 to 5</w:t>
            </w:r>
          </w:p>
        </w:tc>
        <w:tc>
          <w:tcPr>
            <w:tcW w:type="dxa" w:w="15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color w:val="222222"/>
                <w:sz w:val="18"/>
                <w:szCs w:val="18"/>
              </w:rPr>
              <w:t xml:space="preserve">reach level 4</w:t>
            </w:r>
          </w:p>
        </w:tc>
        <w:tc>
          <w:tcPr>
            <w:tcW w:type="dxa" w:w="106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color w:val="222222"/>
                <w:sz w:val="18"/>
                <w:szCs w:val="18"/>
              </w:rPr>
              <w:t xml:space="preserve">Annual</w:t>
            </w:r>
          </w:p>
        </w:tc>
      </w:tr>
      <w:tr>
        <w:tc>
          <w:tcPr>
            <w:tcW w:type="dxa" w:w="23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color w:val="222222"/>
                <w:sz w:val="18"/>
                <w:szCs w:val="18"/>
              </w:rPr>
              <w:t xml:space="preserve">Governance engagement</w:t>
            </w:r>
          </w:p>
        </w:tc>
        <w:tc>
          <w:tcPr>
            <w:tcW w:type="dxa" w:w="45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color w:val="222222"/>
                <w:sz w:val="18"/>
                <w:szCs w:val="18"/>
              </w:rPr>
              <w:t xml:space="preserve">Share of owners and stewards active in Council and working-group activities</w:t>
            </w:r>
          </w:p>
        </w:tc>
        <w:tc>
          <w:tcPr>
            <w:tcW w:type="dxa" w:w="15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color w:val="222222"/>
                <w:sz w:val="18"/>
                <w:szCs w:val="18"/>
              </w:rPr>
              <w:t xml:space="preserve">at least 90%</w:t>
            </w:r>
          </w:p>
        </w:tc>
        <w:tc>
          <w:tcPr>
            <w:tcW w:type="dxa" w:w="106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color w:val="222222"/>
                <w:sz w:val="18"/>
                <w:szCs w:val="18"/>
              </w:rPr>
              <w:t xml:space="preserve">Quarterly</w:t>
            </w:r>
          </w:p>
        </w:tc>
      </w:tr>
      <w:tr>
        <w:tc>
          <w:tcPr>
            <w:tcW w:type="dxa" w:w="23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color w:val="222222"/>
                <w:sz w:val="18"/>
                <w:szCs w:val="18"/>
              </w:rPr>
              <w:t xml:space="preserve">Training completion</w:t>
            </w:r>
          </w:p>
        </w:tc>
        <w:tc>
          <w:tcPr>
            <w:tcW w:type="dxa" w:w="45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color w:val="222222"/>
                <w:sz w:val="18"/>
                <w:szCs w:val="18"/>
              </w:rPr>
              <w:t xml:space="preserve">Share of relevant staff completing annual data governance training</w:t>
            </w:r>
          </w:p>
        </w:tc>
        <w:tc>
          <w:tcPr>
            <w:tcW w:type="dxa" w:w="15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color w:val="222222"/>
                <w:sz w:val="18"/>
                <w:szCs w:val="18"/>
              </w:rPr>
              <w:t xml:space="preserve">100%</w:t>
            </w:r>
          </w:p>
        </w:tc>
        <w:tc>
          <w:tcPr>
            <w:tcW w:type="dxa" w:w="106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color w:val="222222"/>
                <w:sz w:val="18"/>
                <w:szCs w:val="18"/>
              </w:rPr>
              <w:t xml:space="preserve">Annual</w:t>
            </w:r>
          </w:p>
        </w:tc>
      </w:tr>
    </w:tbl>
    <w:p>
      <w:pPr>
        <w:pStyle w:val="Heading1"/>
      </w:pPr>
      <w:r>
        <w:t xml:space="preserve">6. Ratification</w:t>
      </w:r>
    </w:p>
    <w:p>
      <w:pPr>
        <w:spacing w:after="120"/>
      </w:pPr>
      <w:r>
        <w:rPr>
          <w:i/>
          <w:iCs/>
          <w:color w:val="595959"/>
          <w:sz w:val="19"/>
          <w:szCs w:val="19"/>
        </w:rPr>
        <w:t xml:space="preserve">Record the Council's approval of this KPI set and its targets.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700"/>
        <w:gridCol w:w="3700"/>
        <w:gridCol w:w="1960"/>
      </w:tblGrid>
      <w:tr>
        <w:trPr>
          <w:tblHeader/>
        </w:trPr>
        <w:tc>
          <w:tcPr>
            <w:tcW w:type="dxa" w:w="3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2E5496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  <w:color w:val="FFFFFF"/>
                <w:sz w:val="18"/>
                <w:szCs w:val="18"/>
              </w:rPr>
              <w:t xml:space="preserve">Approved by</w:t>
            </w:r>
          </w:p>
        </w:tc>
        <w:tc>
          <w:tcPr>
            <w:tcW w:type="dxa" w:w="3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2E5496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  <w:color w:val="FFFFFF"/>
                <w:sz w:val="18"/>
                <w:szCs w:val="18"/>
              </w:rPr>
              <w:t xml:space="preserve">Role</w:t>
            </w:r>
          </w:p>
        </w:tc>
        <w:tc>
          <w:tcPr>
            <w:tcW w:type="dxa" w:w="196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2E5496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  <w:color w:val="FFFFFF"/>
                <w:sz w:val="18"/>
                <w:szCs w:val="18"/>
              </w:rPr>
              <w:t xml:space="preserve">Date</w:t>
            </w:r>
          </w:p>
        </w:tc>
      </w:tr>
      <w:tr>
        <w:tc>
          <w:tcPr>
            <w:tcW w:type="dxa" w:w="3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color w:val="222222"/>
                <w:sz w:val="18"/>
                <w:szCs w:val="18"/>
              </w:rPr>
              <w:t xml:space="preserve">[ ]</w:t>
            </w:r>
          </w:p>
        </w:tc>
        <w:tc>
          <w:tcPr>
            <w:tcW w:type="dxa" w:w="3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color w:val="222222"/>
                <w:sz w:val="18"/>
                <w:szCs w:val="18"/>
              </w:rPr>
              <w:t xml:space="preserve">[ ]</w:t>
            </w:r>
          </w:p>
        </w:tc>
        <w:tc>
          <w:tcPr>
            <w:tcW w:type="dxa" w:w="196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color w:val="222222"/>
                <w:sz w:val="18"/>
                <w:szCs w:val="18"/>
              </w:rPr>
              <w:t xml:space="preserve">[ ]</w:t>
            </w:r>
          </w:p>
        </w:tc>
      </w:tr>
      <w:tr>
        <w:tc>
          <w:tcPr>
            <w:tcW w:type="dxa" w:w="3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color w:val="222222"/>
                <w:sz w:val="18"/>
                <w:szCs w:val="18"/>
              </w:rPr>
              <w:t xml:space="preserve">[ ]</w:t>
            </w:r>
          </w:p>
        </w:tc>
        <w:tc>
          <w:tcPr>
            <w:tcW w:type="dxa" w:w="3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color w:val="222222"/>
                <w:sz w:val="18"/>
                <w:szCs w:val="18"/>
              </w:rPr>
              <w:t xml:space="preserve">[ ]</w:t>
            </w:r>
          </w:p>
        </w:tc>
        <w:tc>
          <w:tcPr>
            <w:tcW w:type="dxa" w:w="196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color w:val="222222"/>
                <w:sz w:val="18"/>
                <w:szCs w:val="18"/>
              </w:rPr>
              <w:t xml:space="preserve">[ ]</w:t>
            </w:r>
          </w:p>
        </w:tc>
      </w:tr>
    </w:tbl>
    <w:sectPr>
      <w:headerReference w:type="default" r:id="rId7"/>
      <w:footerReference w:type="default" r:id="rId8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color w:val="595959"/>
        <w:sz w:val="16"/>
        <w:szCs w:val="16"/>
      </w:rPr>
      <w:t xml:space="preserve">Bernard Millet, Data Management Portfolio      Page </w:t>
    </w:r>
    <w:r>
      <w:rPr>
        <w:color w:val="595959"/>
        <w:sz w:val="16"/>
        <w:szCs w:val="16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BFBFBF" w:sz="4" w:space="2"/>
      </w:pBdr>
      <w:jc w:val="right"/>
    </w:pPr>
    <w:r>
      <w:rPr>
        <w:color w:val="595959"/>
        <w:sz w:val="15"/>
        <w:szCs w:val="15"/>
      </w:rPr>
      <w:t xml:space="preserve">Data Governance KPIs (Council)  |  Template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color w:val="222222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pBdr>
        <w:bottom w:val="single" w:color="2E5496" w:sz="6" w:space="4"/>
      </w:pBdr>
      <w:spacing w:after="140" w:before="300"/>
      <w:outlineLvl w:val="0"/>
    </w:pPr>
    <w:rPr>
      <w:rFonts w:ascii="Arial" w:cs="Arial" w:eastAsia="Arial" w:hAnsi="Arial"/>
      <w:b/>
      <w:bCs/>
      <w:color w:val="1F3864"/>
      <w:sz w:val="28"/>
      <w:szCs w:val="28"/>
    </w:rPr>
  </w:style>
  <w:style w:type="paragraph" w:styleId="Heading2">
    <w:name w:val="Heading 2"/>
    <w:basedOn w:val="Normal"/>
    <w:next w:val="Normal"/>
    <w:qFormat/>
    <w:pPr>
      <w:spacing w:after="80" w:before="200"/>
      <w:outlineLvl w:val="1"/>
    </w:pPr>
    <w:rPr>
      <w:rFonts w:ascii="Arial" w:cs="Arial" w:eastAsia="Arial" w:hAnsi="Arial"/>
      <w:b/>
      <w:bCs/>
      <w:color w:val="2E5496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2026-06-29T19:41:03.336Z</dcterms:created>
  <dcterms:modified xsi:type="dcterms:W3CDTF">2026-06-29T19:41:03.336Z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