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00"/>
      </w:pPr>
      <w:r>
        <w:rPr>
          <w:b/>
          <w:bCs/>
          <w:color w:val="3B82C4"/>
          <w:sz w:val="18"/>
          <w:szCs w:val="18"/>
        </w:rPr>
        <w:t xml:space="preserve">PORTFOLIO WORK SAMPLE</w:t>
      </w:r>
    </w:p>
    <w:p>
      <w:pPr>
        <w:spacing w:after="0" w:before="820"/>
      </w:pPr>
      <w:r>
        <w:rPr>
          <w:b/>
          <w:bCs/>
          <w:color w:val="1F3864"/>
          <w:sz w:val="52"/>
          <w:szCs w:val="52"/>
        </w:rPr>
        <w:t xml:space="preserve">Data Classification and Protection Policy</w:t>
      </w:r>
    </w:p>
    <w:p>
      <w:pPr>
        <w:pBdr>
          <w:bottom w:val="single" w:color="2E5496" w:sz="12" w:space="6"/>
        </w:pBdr>
        <w:spacing w:after="60" w:before="120"/>
      </w:pPr>
      <w:r>
        <w:rPr>
          <w:color w:val="2E5496"/>
          <w:sz w:val="26"/>
          <w:szCs w:val="26"/>
        </w:rPr>
        <w:t xml:space="preserve">Sensitivity levels and proportionate controls</w:t>
      </w:r>
    </w:p>
    <w:p>
      <w:pPr>
        <w:pBdr>
          <w:left w:val="single" w:color="3B82C4" w:sz="18" w:space="12"/>
        </w:pBdr>
        <w:shd w:fill="F3F7FD" w:val="clear"/>
        <w:spacing w:after="200" w:before="360"/>
      </w:pPr>
      <w:r>
        <w:rPr>
          <w:i/>
          <w:iCs/>
          <w:color w:val="33414F"/>
          <w:sz w:val="20"/>
          <w:szCs w:val="20"/>
        </w:rPr>
        <w:t xml:space="preserve">Portfolio work sample. A sanitized data classification and protection policy representative of work I delivered as Head of Information Security and Records Management and as a statutory APAC Data Protection Officer at a global bank. It shows how I map four sensitivity levels to proportionate, GDPR/FADP-aligned controls.</w:t>
      </w:r>
    </w:p>
    <w:p>
      <w:pPr>
        <w:spacing w:before="520"/>
      </w:pPr>
      <w:r>
        <w:rPr>
          <w:b/>
          <w:bCs/>
          <w:color w:val="595959"/>
          <w:sz w:val="22"/>
          <w:szCs w:val="22"/>
        </w:rPr>
        <w:t xml:space="preserve">About this sample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BFBFBF" w:sz="1"/>
              <w:left w:val="single" w:color="BFBFBF" w:sz="1"/>
              <w:bottom w:val="single" w:color="BFBFBF" w:sz="1"/>
              <w:right w:val="single" w:color="BFBFBF" w:sz="1"/>
            </w:tcBorders>
            <w:shd w:fill="2E5496" w:val="clear"/>
            <w:tcMar>
              <w:top w:type="dxa" w:w="60"/>
              <w:left w:type="dxa" w:w="110"/>
              <w:bottom w:type="dxa" w:w="60"/>
              <w:right w:type="dxa" w:w="110"/>
            </w:tcMar>
          </w:tcPr>
          <w:p>
            <w:r>
              <w:rPr>
                <w:b/>
                <w:bCs/>
                <w:color w:val="FFFFFF"/>
                <w:sz w:val="19"/>
                <w:szCs w:val="19"/>
              </w:rPr>
              <w:t xml:space="preserve">Field</w:t>
            </w:r>
          </w:p>
        </w:tc>
        <w:tc>
          <w:tcPr>
            <w:tcW w:type="dxa" w:w="6360"/>
            <w:tcBorders>
              <w:top w:val="single" w:color="BFBFBF" w:sz="1"/>
              <w:left w:val="single" w:color="BFBFBF" w:sz="1"/>
              <w:bottom w:val="single" w:color="BFBFBF" w:sz="1"/>
              <w:right w:val="single" w:color="BFBFBF" w:sz="1"/>
            </w:tcBorders>
            <w:shd w:fill="2E5496" w:val="clear"/>
            <w:tcMar>
              <w:top w:type="dxa" w:w="60"/>
              <w:left w:type="dxa" w:w="110"/>
              <w:bottom w:type="dxa" w:w="60"/>
              <w:right w:type="dxa" w:w="110"/>
            </w:tcMar>
          </w:tcPr>
          <w:p>
            <w:r>
              <w:rPr>
                <w:b/>
                <w:bCs/>
                <w:color w:val="FFFFFF"/>
                <w:sz w:val="19"/>
                <w:szCs w:val="19"/>
              </w:rPr>
              <w:t xml:space="preserve">Value</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Author</w:t>
            </w:r>
          </w:p>
        </w:tc>
        <w:tc>
          <w:tcPr>
            <w:tcW w:type="dxa" w:w="63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Bernard Millet</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Artefact</w:t>
            </w:r>
          </w:p>
        </w:tc>
        <w:tc>
          <w:tcPr>
            <w:tcW w:type="dxa" w:w="63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Data classification and protection policy (work sample)</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Data domain</w:t>
            </w:r>
          </w:p>
        </w:tc>
        <w:tc>
          <w:tcPr>
            <w:tcW w:type="dxa" w:w="63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Data Security and Protection</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Context</w:t>
            </w:r>
          </w:p>
        </w:tc>
        <w:tc>
          <w:tcPr>
            <w:tcW w:type="dxa" w:w="63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Global bank. Group Finance and APAC (anonymized)</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My role</w:t>
            </w:r>
          </w:p>
        </w:tc>
        <w:tc>
          <w:tcPr>
            <w:tcW w:type="dxa" w:w="63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Head of Information Security and Records Mgmt; statutory APAC DPO</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Status</w:t>
            </w:r>
          </w:p>
        </w:tc>
        <w:tc>
          <w:tcPr>
            <w:tcW w:type="dxa" w:w="63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Sanitized portfolio sample, not a client document</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Classification</w:t>
            </w:r>
          </w:p>
        </w:tc>
        <w:tc>
          <w:tcPr>
            <w:tcW w:type="dxa" w:w="63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Public (sanitized)</w:t>
            </w:r>
          </w:p>
        </w:tc>
      </w:tr>
    </w:tbl>
    <w:p>
      <w:pPr>
        <w:spacing w:before="240"/>
      </w:pPr>
      <w:r>
        <w:rPr>
          <w:i/>
          <w:iCs/>
          <w:color w:val="595959"/>
          <w:sz w:val="16"/>
          <w:szCs w:val="16"/>
        </w:rPr>
        <w:t xml:space="preserve">Confidentiality note: this is a sanitized work sample authored by Bernard Millet. All client-specific data, names and identifiers have been removed; it is representative of approach and craft, not a client deliverable.</w:t>
      </w:r>
    </w:p>
    <w:p>
      <w:pPr>
        <w:pageBreakBefore/>
      </w:pPr>
    </w:p>
    <w:p>
      <w:pPr>
        <w:spacing w:after="160"/>
      </w:pPr>
      <w:r>
        <w:rPr>
          <w:b/>
          <w:bCs/>
          <w:color w:val="1F3864"/>
          <w:sz w:val="28"/>
          <w:szCs w:val="28"/>
        </w:rPr>
        <w:t xml:space="preserve">Contents</w:t>
      </w:r>
    </w:p>
    <w:sdt>
      <w:sdtPr>
        <w:alias w:val="Contents"/>
      </w:sdtPr>
      <w:sdtContent>
        <w:p>
          <w:r>
            <w:fldChar w:fldCharType="begin" w:dirty="true"/>
            <w:instrText xml:space="preserve">TOC \h \o "1-2"</w:instrText>
            <w:fldChar w:fldCharType="separate"/>
          </w:r>
        </w:p>
        <w:p>
          <w:r>
            <w:fldChar w:fldCharType="end"/>
          </w:r>
        </w:p>
      </w:sdtContent>
    </w:sdt>
    <w:p>
      <w:pPr>
        <w:pageBreakBefore/>
      </w:pPr>
    </w:p>
    <w:p>
      <w:pPr>
        <w:pStyle w:val="Heading1"/>
      </w:pPr>
      <w:r>
        <w:t xml:space="preserve">1. Purpose</w:t>
      </w:r>
    </w:p>
    <w:p>
      <w:pPr>
        <w:spacing w:after="120"/>
      </w:pPr>
      <w:r>
        <w:t xml:space="preserve">This policy defines how the organization classifies data by sensitivity and applies proportionate protection controls across its lifecycle, supporting confidentiality, integrity, availability and regulatory obligations (including GDPR and Swiss FADP where personal data is involved).</w:t>
      </w:r>
    </w:p>
    <w:p>
      <w:pPr>
        <w:pStyle w:val="Heading1"/>
      </w:pPr>
      <w:r>
        <w:t xml:space="preserve">2. Classification levels</w:t>
      </w:r>
    </w:p>
    <w:p>
      <w:pPr>
        <w:spacing w:after="120"/>
      </w:pPr>
      <w:r>
        <w:t xml:space="preserve">All data must be assigned one of the following classifications by its Data Owner. When in doubt, the higher classification applies.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4060"/>
        <w:gridCol w:w="3600"/>
      </w:tblGrid>
      <w:tr>
        <w:trPr>
          <w:tblHeader/>
        </w:trPr>
        <w:tc>
          <w:tcPr>
            <w:tcW w:type="dxa" w:w="1700"/>
            <w:tcBorders>
              <w:top w:val="single" w:color="BFBFBF" w:sz="1"/>
              <w:left w:val="single" w:color="BFBFBF" w:sz="1"/>
              <w:bottom w:val="single" w:color="BFBFBF" w:sz="1"/>
              <w:right w:val="single" w:color="BFBFBF" w:sz="1"/>
            </w:tcBorders>
            <w:shd w:fill="2E5496" w:val="clear"/>
            <w:tcMar>
              <w:top w:type="dxa" w:w="60"/>
              <w:left w:type="dxa" w:w="110"/>
              <w:bottom w:type="dxa" w:w="60"/>
              <w:right w:type="dxa" w:w="110"/>
            </w:tcMar>
          </w:tcPr>
          <w:p>
            <w:r>
              <w:rPr>
                <w:b/>
                <w:bCs/>
                <w:color w:val="FFFFFF"/>
                <w:sz w:val="19"/>
                <w:szCs w:val="19"/>
              </w:rPr>
              <w:t xml:space="preserve">Level</w:t>
            </w:r>
          </w:p>
        </w:tc>
        <w:tc>
          <w:tcPr>
            <w:tcW w:type="dxa" w:w="4060"/>
            <w:tcBorders>
              <w:top w:val="single" w:color="BFBFBF" w:sz="1"/>
              <w:left w:val="single" w:color="BFBFBF" w:sz="1"/>
              <w:bottom w:val="single" w:color="BFBFBF" w:sz="1"/>
              <w:right w:val="single" w:color="BFBFBF" w:sz="1"/>
            </w:tcBorders>
            <w:shd w:fill="2E5496" w:val="clear"/>
            <w:tcMar>
              <w:top w:type="dxa" w:w="60"/>
              <w:left w:type="dxa" w:w="110"/>
              <w:bottom w:type="dxa" w:w="60"/>
              <w:right w:type="dxa" w:w="110"/>
            </w:tcMar>
          </w:tcPr>
          <w:p>
            <w:r>
              <w:rPr>
                <w:b/>
                <w:bCs/>
                <w:color w:val="FFFFFF"/>
                <w:sz w:val="19"/>
                <w:szCs w:val="19"/>
              </w:rPr>
              <w:t xml:space="preserve">Definition</w:t>
            </w:r>
          </w:p>
        </w:tc>
        <w:tc>
          <w:tcPr>
            <w:tcW w:type="dxa" w:w="3600"/>
            <w:tcBorders>
              <w:top w:val="single" w:color="BFBFBF" w:sz="1"/>
              <w:left w:val="single" w:color="BFBFBF" w:sz="1"/>
              <w:bottom w:val="single" w:color="BFBFBF" w:sz="1"/>
              <w:right w:val="single" w:color="BFBFBF" w:sz="1"/>
            </w:tcBorders>
            <w:shd w:fill="2E5496" w:val="clear"/>
            <w:tcMar>
              <w:top w:type="dxa" w:w="60"/>
              <w:left w:type="dxa" w:w="110"/>
              <w:bottom w:type="dxa" w:w="60"/>
              <w:right w:type="dxa" w:w="110"/>
            </w:tcMar>
          </w:tcPr>
          <w:p>
            <w:r>
              <w:rPr>
                <w:b/>
                <w:bCs/>
                <w:color w:val="FFFFFF"/>
                <w:sz w:val="19"/>
                <w:szCs w:val="19"/>
              </w:rPr>
              <w:t xml:space="preserve">Examples</w:t>
            </w:r>
          </w:p>
        </w:tc>
      </w:tr>
      <w:tr>
        <w:tc>
          <w:tcPr>
            <w:tcW w:type="dxa" w:w="17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Public</w:t>
            </w:r>
          </w:p>
        </w:tc>
        <w:tc>
          <w:tcPr>
            <w:tcW w:type="dxa" w:w="40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Approved for public release; no harm if disclosed.</w:t>
            </w:r>
          </w:p>
        </w:tc>
        <w:tc>
          <w:tcPr>
            <w:tcW w:type="dxa" w:w="36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Published marketing, public reports</w:t>
            </w:r>
          </w:p>
        </w:tc>
      </w:tr>
      <w:tr>
        <w:tc>
          <w:tcPr>
            <w:tcW w:type="dxa" w:w="17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Internal</w:t>
            </w:r>
          </w:p>
        </w:tc>
        <w:tc>
          <w:tcPr>
            <w:tcW w:type="dxa" w:w="40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Default for business data; limited to the organisation.</w:t>
            </w:r>
          </w:p>
        </w:tc>
        <w:tc>
          <w:tcPr>
            <w:tcW w:type="dxa" w:w="36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Internal procedures, aggregated metrics</w:t>
            </w:r>
          </w:p>
        </w:tc>
      </w:tr>
      <w:tr>
        <w:tc>
          <w:tcPr>
            <w:tcW w:type="dxa" w:w="17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Confidential</w:t>
            </w:r>
          </w:p>
        </w:tc>
        <w:tc>
          <w:tcPr>
            <w:tcW w:type="dxa" w:w="40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Sensitive; disclosure causes material harm. Includes most PII.</w:t>
            </w:r>
          </w:p>
        </w:tc>
        <w:tc>
          <w:tcPr>
            <w:tcW w:type="dxa" w:w="36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Customer PII, contracts, financials</w:t>
            </w:r>
          </w:p>
        </w:tc>
      </w:tr>
      <w:tr>
        <w:tc>
          <w:tcPr>
            <w:tcW w:type="dxa" w:w="17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Restricted</w:t>
            </w:r>
          </w:p>
        </w:tc>
        <w:tc>
          <w:tcPr>
            <w:tcW w:type="dxa" w:w="40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Highly sensitive; disclosure causes severe harm; legal limits.</w:t>
            </w:r>
          </w:p>
        </w:tc>
        <w:tc>
          <w:tcPr>
            <w:tcW w:type="dxa" w:w="36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Special-category PII, credentials, audit logs</w:t>
            </w:r>
          </w:p>
        </w:tc>
      </w:tr>
    </w:tbl>
    <w:p>
      <w:pPr>
        <w:pStyle w:val="Heading1"/>
      </w:pPr>
      <w:r>
        <w:t xml:space="preserve">3. Protection controls by classification</w:t>
      </w:r>
    </w:p>
    <w:p>
      <w:pPr>
        <w:spacing w:after="120"/>
      </w:pPr>
      <w:r>
        <w:t xml:space="preserve">Minimum controls increase with sensitivity. Controls are cumulative: each level inherits the controls of those below 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320"/>
        <w:gridCol w:w="2320"/>
        <w:gridCol w:w="2320"/>
      </w:tblGrid>
      <w:tr>
        <w:trPr>
          <w:tblHeader/>
        </w:trPr>
        <w:tc>
          <w:tcPr>
            <w:tcW w:type="dxa" w:w="2400"/>
            <w:tcBorders>
              <w:top w:val="single" w:color="BFBFBF" w:sz="1"/>
              <w:left w:val="single" w:color="BFBFBF" w:sz="1"/>
              <w:bottom w:val="single" w:color="BFBFBF" w:sz="1"/>
              <w:right w:val="single" w:color="BFBFBF" w:sz="1"/>
            </w:tcBorders>
            <w:shd w:fill="2E5496" w:val="clear"/>
            <w:tcMar>
              <w:top w:type="dxa" w:w="60"/>
              <w:left w:type="dxa" w:w="110"/>
              <w:bottom w:type="dxa" w:w="60"/>
              <w:right w:type="dxa" w:w="110"/>
            </w:tcMar>
          </w:tcPr>
          <w:p>
            <w:r>
              <w:rPr>
                <w:b/>
                <w:bCs/>
                <w:color w:val="FFFFFF"/>
                <w:sz w:val="19"/>
                <w:szCs w:val="19"/>
              </w:rPr>
              <w:t xml:space="preserve">Control</w:t>
            </w:r>
          </w:p>
        </w:tc>
        <w:tc>
          <w:tcPr>
            <w:tcW w:type="dxa" w:w="2320"/>
            <w:tcBorders>
              <w:top w:val="single" w:color="BFBFBF" w:sz="1"/>
              <w:left w:val="single" w:color="BFBFBF" w:sz="1"/>
              <w:bottom w:val="single" w:color="BFBFBF" w:sz="1"/>
              <w:right w:val="single" w:color="BFBFBF" w:sz="1"/>
            </w:tcBorders>
            <w:shd w:fill="2E5496" w:val="clear"/>
            <w:tcMar>
              <w:top w:type="dxa" w:w="60"/>
              <w:left w:type="dxa" w:w="110"/>
              <w:bottom w:type="dxa" w:w="60"/>
              <w:right w:type="dxa" w:w="110"/>
            </w:tcMar>
          </w:tcPr>
          <w:p>
            <w:r>
              <w:rPr>
                <w:b/>
                <w:bCs/>
                <w:color w:val="FFFFFF"/>
                <w:sz w:val="19"/>
                <w:szCs w:val="19"/>
              </w:rPr>
              <w:t xml:space="preserve">Internal</w:t>
            </w:r>
          </w:p>
        </w:tc>
        <w:tc>
          <w:tcPr>
            <w:tcW w:type="dxa" w:w="2320"/>
            <w:tcBorders>
              <w:top w:val="single" w:color="BFBFBF" w:sz="1"/>
              <w:left w:val="single" w:color="BFBFBF" w:sz="1"/>
              <w:bottom w:val="single" w:color="BFBFBF" w:sz="1"/>
              <w:right w:val="single" w:color="BFBFBF" w:sz="1"/>
            </w:tcBorders>
            <w:shd w:fill="2E5496" w:val="clear"/>
            <w:tcMar>
              <w:top w:type="dxa" w:w="60"/>
              <w:left w:type="dxa" w:w="110"/>
              <w:bottom w:type="dxa" w:w="60"/>
              <w:right w:type="dxa" w:w="110"/>
            </w:tcMar>
          </w:tcPr>
          <w:p>
            <w:r>
              <w:rPr>
                <w:b/>
                <w:bCs/>
                <w:color w:val="FFFFFF"/>
                <w:sz w:val="19"/>
                <w:szCs w:val="19"/>
              </w:rPr>
              <w:t xml:space="preserve">Confidential</w:t>
            </w:r>
          </w:p>
        </w:tc>
        <w:tc>
          <w:tcPr>
            <w:tcW w:type="dxa" w:w="2320"/>
            <w:tcBorders>
              <w:top w:val="single" w:color="BFBFBF" w:sz="1"/>
              <w:left w:val="single" w:color="BFBFBF" w:sz="1"/>
              <w:bottom w:val="single" w:color="BFBFBF" w:sz="1"/>
              <w:right w:val="single" w:color="BFBFBF" w:sz="1"/>
            </w:tcBorders>
            <w:shd w:fill="2E5496" w:val="clear"/>
            <w:tcMar>
              <w:top w:type="dxa" w:w="60"/>
              <w:left w:type="dxa" w:w="110"/>
              <w:bottom w:type="dxa" w:w="60"/>
              <w:right w:type="dxa" w:w="110"/>
            </w:tcMar>
          </w:tcPr>
          <w:p>
            <w:r>
              <w:rPr>
                <w:b/>
                <w:bCs/>
                <w:color w:val="FFFFFF"/>
                <w:sz w:val="19"/>
                <w:szCs w:val="19"/>
              </w:rPr>
              <w:t xml:space="preserve">Restricted</w:t>
            </w:r>
          </w:p>
        </w:tc>
      </w:tr>
      <w:tr>
        <w:tc>
          <w:tcPr>
            <w:tcW w:type="dxa" w:w="24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Access model</w:t>
            </w:r>
          </w:p>
        </w:tc>
        <w:tc>
          <w:tcPr>
            <w:tcW w:type="dxa" w:w="232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Role-based</w:t>
            </w:r>
          </w:p>
        </w:tc>
        <w:tc>
          <w:tcPr>
            <w:tcW w:type="dxa" w:w="232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Least-privilege + owner approval</w:t>
            </w:r>
          </w:p>
        </w:tc>
        <w:tc>
          <w:tcPr>
            <w:tcW w:type="dxa" w:w="232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Least-privilege + MFA + named approval</w:t>
            </w:r>
          </w:p>
        </w:tc>
      </w:tr>
      <w:tr>
        <w:tc>
          <w:tcPr>
            <w:tcW w:type="dxa" w:w="24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Encryption at rest</w:t>
            </w:r>
          </w:p>
        </w:tc>
        <w:tc>
          <w:tcPr>
            <w:tcW w:type="dxa" w:w="232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Recommended</w:t>
            </w:r>
          </w:p>
        </w:tc>
        <w:tc>
          <w:tcPr>
            <w:tcW w:type="dxa" w:w="232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Required</w:t>
            </w:r>
          </w:p>
        </w:tc>
        <w:tc>
          <w:tcPr>
            <w:tcW w:type="dxa" w:w="232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Required</w:t>
            </w:r>
          </w:p>
        </w:tc>
      </w:tr>
      <w:tr>
        <w:tc>
          <w:tcPr>
            <w:tcW w:type="dxa" w:w="24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Encryption in transit</w:t>
            </w:r>
          </w:p>
        </w:tc>
        <w:tc>
          <w:tcPr>
            <w:tcW w:type="dxa" w:w="232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Required</w:t>
            </w:r>
          </w:p>
        </w:tc>
        <w:tc>
          <w:tcPr>
            <w:tcW w:type="dxa" w:w="232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Required</w:t>
            </w:r>
          </w:p>
        </w:tc>
        <w:tc>
          <w:tcPr>
            <w:tcW w:type="dxa" w:w="232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Required</w:t>
            </w:r>
          </w:p>
        </w:tc>
      </w:tr>
      <w:tr>
        <w:tc>
          <w:tcPr>
            <w:tcW w:type="dxa" w:w="24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Masking / anonymisation</w:t>
            </w:r>
          </w:p>
        </w:tc>
        <w:tc>
          <w:tcPr>
            <w:tcW w:type="dxa" w:w="232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Optional</w:t>
            </w:r>
          </w:p>
        </w:tc>
        <w:tc>
          <w:tcPr>
            <w:tcW w:type="dxa" w:w="232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In non-prod environments</w:t>
            </w:r>
          </w:p>
        </w:tc>
        <w:tc>
          <w:tcPr>
            <w:tcW w:type="dxa" w:w="232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Non-prod + on display where feasible</w:t>
            </w:r>
          </w:p>
        </w:tc>
      </w:tr>
      <w:tr>
        <w:tc>
          <w:tcPr>
            <w:tcW w:type="dxa" w:w="24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Access logging and review</w:t>
            </w:r>
          </w:p>
        </w:tc>
        <w:tc>
          <w:tcPr>
            <w:tcW w:type="dxa" w:w="232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Periodic</w:t>
            </w:r>
          </w:p>
        </w:tc>
        <w:tc>
          <w:tcPr>
            <w:tcW w:type="dxa" w:w="232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Quarterly review</w:t>
            </w:r>
          </w:p>
        </w:tc>
        <w:tc>
          <w:tcPr>
            <w:tcW w:type="dxa" w:w="232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Continuous logging + quarterly review</w:t>
            </w:r>
          </w:p>
        </w:tc>
      </w:tr>
      <w:tr>
        <w:tc>
          <w:tcPr>
            <w:tcW w:type="dxa" w:w="24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Retention and disposal</w:t>
            </w:r>
          </w:p>
        </w:tc>
        <w:tc>
          <w:tcPr>
            <w:tcW w:type="dxa" w:w="232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Per schedule</w:t>
            </w:r>
          </w:p>
        </w:tc>
        <w:tc>
          <w:tcPr>
            <w:tcW w:type="dxa" w:w="232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Per schedule + secure deletion</w:t>
            </w:r>
          </w:p>
        </w:tc>
        <w:tc>
          <w:tcPr>
            <w:tcW w:type="dxa" w:w="232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Per schedule + certified destruction</w:t>
            </w:r>
          </w:p>
        </w:tc>
      </w:tr>
    </w:tbl>
    <w:p>
      <w:pPr>
        <w:pStyle w:val="Heading1"/>
      </w:pPr>
      <w:r>
        <w:t xml:space="preserve">4. Personal data (privacy)</w:t>
      </w:r>
    </w:p>
    <w:p>
      <w:pPr>
        <w:pStyle w:val="ListParagraph"/>
        <w:numPr>
          <w:ilvl w:val="0"/>
          <w:numId w:val="2"/>
        </w:numPr>
        <w:spacing w:after="60"/>
      </w:pPr>
      <w:r>
        <w:t xml:space="preserve">Personal data is classified at least Confidential; special-category data is Restricted.</w:t>
      </w:r>
    </w:p>
    <w:p>
      <w:pPr>
        <w:pStyle w:val="ListParagraph"/>
        <w:numPr>
          <w:ilvl w:val="0"/>
          <w:numId w:val="2"/>
        </w:numPr>
        <w:spacing w:after="60"/>
      </w:pPr>
      <w:r>
        <w:t xml:space="preserve">Processing must have a lawful basis and be limited to the stated purpose (data minimisation).</w:t>
      </w:r>
    </w:p>
    <w:p>
      <w:pPr>
        <w:pStyle w:val="ListParagraph"/>
        <w:numPr>
          <w:ilvl w:val="0"/>
          <w:numId w:val="2"/>
        </w:numPr>
        <w:spacing w:after="60"/>
      </w:pPr>
      <w:r>
        <w:t xml:space="preserve">Data-subject requests (access, rectification, erasure) are handled within statutory timeframes.</w:t>
      </w:r>
    </w:p>
    <w:p>
      <w:pPr>
        <w:pStyle w:val="ListParagraph"/>
        <w:numPr>
          <w:ilvl w:val="0"/>
          <w:numId w:val="2"/>
        </w:numPr>
        <w:spacing w:after="60"/>
      </w:pPr>
      <w:r>
        <w:t xml:space="preserve">Privacy-by-design: assess data protection impact before launching new processing.</w:t>
      </w:r>
    </w:p>
    <w:p>
      <w:pPr>
        <w:pStyle w:val="Heading1"/>
      </w:pPr>
      <w:r>
        <w:t xml:space="preserve">5. Roles</w:t>
      </w:r>
    </w:p>
    <w:p>
      <w:pPr>
        <w:spacing w:after="120"/>
      </w:pPr>
      <w:r>
        <w:t xml:space="preserve">Data Owners assign classification and approve access. Data Custodians (IT) implement technical controls. The Data Protection Officer advises on personal-data obligations. All users handle data per its classification.</w:t>
      </w:r>
    </w:p>
    <w:p>
      <w:pPr>
        <w:pStyle w:val="Heading1"/>
      </w:pPr>
      <w:r>
        <w:t xml:space="preserve">6. Access control</w:t>
      </w:r>
    </w:p>
    <w:p>
      <w:pPr>
        <w:spacing w:after="120"/>
      </w:pPr>
      <w:r>
        <w:rPr>
          <w:i/>
          <w:iCs/>
          <w:color w:val="595959"/>
        </w:rPr>
        <w:t xml:space="preserve">Access is governed by the role-based access control (RBAC) matrix maintained alongside this policy ('Access Control Matrix'), reviewed quarterly. Joiners, movers and leavers trigger access re-evaluation.</w:t>
      </w:r>
    </w:p>
    <w:p>
      <w:pPr>
        <w:pStyle w:val="Heading1"/>
      </w:pPr>
      <w:r>
        <w:t xml:space="preserve">7. Incident response</w:t>
      </w:r>
    </w:p>
    <w:p>
      <w:pPr>
        <w:spacing w:after="120"/>
      </w:pPr>
      <w:r>
        <w:t xml:space="preserve">Suspected breaches must be reported immediately to the Information Security team. Breaches involving personal data are assessed for regulator and data-subject notification within statutory deadlines (e.g. 72 hours under GDPR).</w:t>
      </w:r>
    </w:p>
    <w:p>
      <w:pPr>
        <w:pStyle w:val="Heading1"/>
      </w:pPr>
      <w:r>
        <w:t xml:space="preserve">8. Compliance and review</w:t>
      </w:r>
    </w:p>
    <w:p>
      <w:pPr>
        <w:spacing w:after="120"/>
      </w:pPr>
      <w:r>
        <w:t xml:space="preserve">Compliance is mandatory and audited. This policy is reviewed annually or upon material regulatory or technology change.</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t xml:space="preserve">Bernard Millet, Data Management Portfolio      Page </w:t>
    </w:r>
    <w:r>
      <w:rPr>
        <w:color w:val="59595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2"/>
      </w:pBdr>
      <w:jc w:val="right"/>
    </w:pPr>
    <w:r>
      <w:rPr>
        <w:color w:val="595959"/>
        <w:sz w:val="16"/>
        <w:szCs w:val="16"/>
      </w:rPr>
      <w:t xml:space="preserve">Data Classification and Protection Policy  |  Work sample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abstractNum>
  <w:abstractNum w:abstractNumId="3" w15:restartNumberingAfterBreak="0">
    <w:multiLevelType w:val="hybridMultilevel"/>
    <w:lvl w:ilvl="0" w15:tentative="1">
      <w:start w:val="1"/>
      <w:numFmt w:val="decimal"/>
      <w:lvlText w:val="%1."/>
      <w:lvlJc w:val="left"/>
      <w:pPr>
        <w:ind w:left="60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2222"/>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2E5496" w:sz="6" w:space="4"/>
      </w:pBdr>
      <w:spacing w:after="160" w:before="320"/>
      <w:outlineLvl w:val="0"/>
    </w:pPr>
    <w:rPr>
      <w:rFonts w:ascii="Arial" w:cs="Arial" w:eastAsia="Arial" w:hAnsi="Arial"/>
      <w:b/>
      <w:bCs/>
      <w:color w:val="1F3864"/>
      <w:sz w:val="30"/>
      <w:szCs w:val="30"/>
    </w:rPr>
  </w:style>
  <w:style w:type="paragraph" w:styleId="Heading2">
    <w:name w:val="Heading 2"/>
    <w:basedOn w:val="Normal"/>
    <w:next w:val="Normal"/>
    <w:qFormat/>
    <w:pPr>
      <w:spacing w:after="100" w:before="220"/>
      <w:outlineLvl w:val="1"/>
    </w:pPr>
    <w:rPr>
      <w:rFonts w:ascii="Arial" w:cs="Arial" w:eastAsia="Arial" w:hAnsi="Arial"/>
      <w:b/>
      <w:bCs/>
      <w:color w:val="2E549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2026-06-29T15:33:05.596Z</dcterms:created>
  <dcterms:modified xsi:type="dcterms:W3CDTF">2026-06-29T15:33:05.596Z</dcterms:modified>
</cp:coreProperties>
</file>

<file path=docProps/custom.xml><?xml version="1.0" encoding="utf-8"?>
<Properties xmlns="http://schemas.openxmlformats.org/officeDocument/2006/custom-properties" xmlns:vt="http://schemas.openxmlformats.org/officeDocument/2006/docPropsVTypes"/>
</file>