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00"/>
      </w:pPr>
      <w:r>
        <w:rPr>
          <w:b/>
          <w:bCs/>
          <w:color w:val="3B82C4"/>
          <w:sz w:val="18"/>
          <w:szCs w:val="18"/>
        </w:rPr>
        <w:t xml:space="preserve">PORTFOLIO WORK SAMPLE</w:t>
      </w:r>
    </w:p>
    <w:p>
      <w:pPr>
        <w:spacing w:before="820"/>
      </w:pPr>
      <w:r>
        <w:rPr>
          <w:b/>
          <w:bCs/>
          <w:color w:val="1F3864"/>
          <w:sz w:val="48"/>
          <w:szCs w:val="48"/>
        </w:rPr>
        <w:t xml:space="preserve">Data Architecture Principles and ADR</w:t>
      </w:r>
    </w:p>
    <w:p>
      <w:pPr>
        <w:pBdr>
          <w:bottom w:val="single" w:color="2E5496" w:sz="12" w:space="6"/>
        </w:pBdr>
        <w:spacing w:after="60" w:before="120"/>
      </w:pPr>
      <w:r>
        <w:rPr>
          <w:color w:val="2E5496"/>
          <w:sz w:val="25"/>
          <w:szCs w:val="25"/>
        </w:rPr>
        <w:t xml:space="preserve">Design principles and the decision-record template</w:t>
      </w:r>
    </w:p>
    <w:p>
      <w:pPr>
        <w:pBdr>
          <w:left w:val="single" w:color="3B82C4" w:sz="18" w:space="12"/>
        </w:pBdr>
        <w:shd w:fill="F3F7FD" w:val="clear"/>
        <w:spacing w:after="200" w:before="360"/>
      </w:pPr>
      <w:r>
        <w:rPr>
          <w:i/>
          <w:iCs/>
          <w:color w:val="33414F"/>
          <w:sz w:val="20"/>
          <w:szCs w:val="20"/>
        </w:rPr>
        <w:t xml:space="preserve">Portfolio work sample. A sanitized set of architecture principles and the Architecture Decision Record (ADR) format I use, representative of my work leading data architecture at a global bank, including a platform vendor assessment. It shows how I make and record significant architecture decisions.</w:t>
      </w:r>
    </w:p>
    <w:p>
      <w:pPr>
        <w:spacing w:before="520"/>
      </w:pPr>
      <w:r>
        <w:rPr>
          <w:b/>
          <w:bCs/>
          <w:color w:val="595959"/>
          <w:sz w:val="22"/>
          <w:szCs w:val="22"/>
        </w:rPr>
        <w:t xml:space="preserve">About this sample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Field</w:t>
            </w:r>
          </w:p>
        </w:tc>
        <w:tc>
          <w:tcPr>
            <w:tcW w:type="dxa" w:w="636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Value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Author</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Bernard Millet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Artefact</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Architecture principles and ADR (work sample)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domain</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Architecture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Context</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Global bank. Investment banking and Group Finance (anonymized)</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My role</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Head of Data Architecture; senior architecture advisor</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Status</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Sanitized portfolio sample, not a client document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Classification</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Public (sanitized)</w:t>
            </w:r>
          </w:p>
        </w:tc>
      </w:tr>
    </w:tbl>
    <w:p>
      <w:pPr>
        <w:spacing w:before="240"/>
      </w:pPr>
      <w:r>
        <w:rPr>
          <w:i/>
          <w:iCs/>
          <w:color w:val="595959"/>
          <w:sz w:val="16"/>
          <w:szCs w:val="16"/>
        </w:rPr>
        <w:t xml:space="preserve">Confidentiality note: this is a sanitized work sample authored by Bernard Millet. All client-specific data, names and identifiers have been removed; it is representative of approach and craft, not a client deliverable.</w:t>
      </w:r>
    </w:p>
    <w:p>
      <w:pPr>
        <w:pageBreakBefore/>
      </w:pPr>
    </w:p>
    <w:p>
      <w:pPr>
        <w:spacing w:after="160"/>
      </w:pPr>
      <w:r>
        <w:rPr>
          <w:b/>
          <w:bCs/>
          <w:color w:val="1F3864"/>
          <w:sz w:val="28"/>
          <w:szCs w:val="28"/>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ageBreakBefore/>
      </w:pPr>
    </w:p>
    <w:p>
      <w:pPr>
        <w:pStyle w:val="Heading1"/>
      </w:pPr>
      <w:r>
        <w:t xml:space="preserve">1. Purpose</w:t>
      </w:r>
    </w:p>
    <w:p>
      <w:pPr>
        <w:spacing w:after="120"/>
      </w:pPr>
      <w:r>
        <w:t xml:space="preserve">This document sets the architecture principles that govern how data solutions are designed at the organization, and provides the Architecture Decision Record (ADR) template used to capture significant decisions with their rationale and consequences.</w:t>
      </w:r>
    </w:p>
    <w:p>
      <w:pPr>
        <w:pStyle w:val="Heading1"/>
      </w:pPr>
      <w:r>
        <w:t xml:space="preserve">2. Architecture principles</w:t>
      </w:r>
    </w:p>
    <w:p>
      <w:pPr>
        <w:spacing w:after="120"/>
      </w:pPr>
      <w:r>
        <w:t xml:space="preserve">Principles are the non-negotiable design constraints. Each has a rationale and an implication.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3560"/>
        <w:gridCol w:w="5200"/>
      </w:tblGrid>
      <w:tr>
        <w:trPr>
          <w:tblHeader/>
        </w:trPr>
        <w:tc>
          <w:tcPr>
            <w:tcW w:type="dxa" w:w="60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w:t>
            </w:r>
          </w:p>
        </w:tc>
        <w:tc>
          <w:tcPr>
            <w:tcW w:type="dxa" w:w="356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Principle</w:t>
            </w:r>
          </w:p>
        </w:tc>
        <w:tc>
          <w:tcPr>
            <w:tcW w:type="dxa" w:w="520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Implication</w:t>
            </w:r>
          </w:p>
        </w:tc>
      </w:tr>
      <w:tr>
        <w:tc>
          <w:tcPr>
            <w:tcW w:type="dxa" w:w="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P1</w:t>
            </w:r>
          </w:p>
        </w:tc>
        <w:tc>
          <w:tcPr>
            <w:tcW w:type="dxa" w:w="35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is a managed enterprise asset</w:t>
            </w:r>
          </w:p>
        </w:tc>
        <w:tc>
          <w:tcPr>
            <w:tcW w:type="dxa" w:w="52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Every dataset has an owner, a classification and a catalog entry.</w:t>
            </w:r>
          </w:p>
        </w:tc>
      </w:tr>
      <w:tr>
        <w:tc>
          <w:tcPr>
            <w:tcW w:type="dxa" w:w="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P2</w:t>
            </w:r>
          </w:p>
        </w:tc>
        <w:tc>
          <w:tcPr>
            <w:tcW w:type="dxa" w:w="35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Design for lineage and traceability</w:t>
            </w:r>
          </w:p>
        </w:tc>
        <w:tc>
          <w:tcPr>
            <w:tcW w:type="dxa" w:w="52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Source, transformation and audit columns are mandatory (BCBS 239).</w:t>
            </w:r>
          </w:p>
        </w:tc>
      </w:tr>
      <w:tr>
        <w:tc>
          <w:tcPr>
            <w:tcW w:type="dxa" w:w="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P3</w:t>
            </w:r>
          </w:p>
        </w:tc>
        <w:tc>
          <w:tcPr>
            <w:tcW w:type="dxa" w:w="35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Separate storage from compute; layer the platform</w:t>
            </w:r>
          </w:p>
        </w:tc>
        <w:tc>
          <w:tcPr>
            <w:tcW w:type="dxa" w:w="52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Sources to ingestion to curated to serving; no business logic in ingestion.</w:t>
            </w:r>
          </w:p>
        </w:tc>
      </w:tr>
      <w:tr>
        <w:tc>
          <w:tcPr>
            <w:tcW w:type="dxa" w:w="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P4</w:t>
            </w:r>
          </w:p>
        </w:tc>
        <w:tc>
          <w:tcPr>
            <w:tcW w:type="dxa" w:w="35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Single source of truth via conformed and master data</w:t>
            </w:r>
          </w:p>
        </w:tc>
        <w:tc>
          <w:tcPr>
            <w:tcW w:type="dxa" w:w="52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Shared entities resolve to one golden record and conformed dimension.</w:t>
            </w:r>
          </w:p>
        </w:tc>
      </w:tr>
      <w:tr>
        <w:tc>
          <w:tcPr>
            <w:tcW w:type="dxa" w:w="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P5</w:t>
            </w:r>
          </w:p>
        </w:tc>
        <w:tc>
          <w:tcPr>
            <w:tcW w:type="dxa" w:w="35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Security and privacy by design</w:t>
            </w:r>
          </w:p>
        </w:tc>
        <w:tc>
          <w:tcPr>
            <w:tcW w:type="dxa" w:w="52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Classification drives controls; least-privilege access; PII minimised.</w:t>
            </w:r>
          </w:p>
        </w:tc>
      </w:tr>
      <w:tr>
        <w:tc>
          <w:tcPr>
            <w:tcW w:type="dxa" w:w="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P6</w:t>
            </w:r>
          </w:p>
        </w:tc>
        <w:tc>
          <w:tcPr>
            <w:tcW w:type="dxa" w:w="35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Interoperate on open standards</w:t>
            </w:r>
          </w:p>
        </w:tc>
        <w:tc>
          <w:tcPr>
            <w:tcW w:type="dxa" w:w="52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Documented contracts and standard formats (e.g. FpML, ISO codes, JSON/Parquet).</w:t>
            </w:r>
          </w:p>
        </w:tc>
      </w:tr>
      <w:tr>
        <w:tc>
          <w:tcPr>
            <w:tcW w:type="dxa" w:w="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P7</w:t>
            </w:r>
          </w:p>
        </w:tc>
        <w:tc>
          <w:tcPr>
            <w:tcW w:type="dxa" w:w="35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Quality is gated, not inspected</w:t>
            </w:r>
          </w:p>
        </w:tc>
        <w:tc>
          <w:tcPr>
            <w:tcW w:type="dxa" w:w="52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DQ tests run in CI/CD; failing data blocks promotion.</w:t>
            </w:r>
          </w:p>
        </w:tc>
      </w:tr>
    </w:tbl>
    <w:p>
      <w:pPr>
        <w:pStyle w:val="Heading1"/>
      </w:pPr>
      <w:r>
        <w:t xml:space="preserve">3. Reference layered architecture</w:t>
      </w:r>
    </w:p>
    <w:p>
      <w:pPr>
        <w:spacing w:after="120"/>
      </w:pPr>
      <w:r>
        <w:t xml:space="preserve">The target platform is organised in layers with a clear contract between each. Governance, security and metadata are cross-cutting concerns applied at every layer.</w:t>
      </w:r>
    </w:p>
    <w:p>
      <w:pPr>
        <w:pStyle w:val="ListParagraph"/>
        <w:numPr>
          <w:ilvl w:val="0"/>
          <w:numId w:val="2"/>
        </w:numPr>
        <w:spacing w:after="60"/>
      </w:pPr>
      <w:r>
        <w:t xml:space="preserve">Sources: operational systems, market data, files and streams.</w:t>
      </w:r>
    </w:p>
    <w:p>
      <w:pPr>
        <w:pStyle w:val="ListParagraph"/>
        <w:numPr>
          <w:ilvl w:val="0"/>
          <w:numId w:val="2"/>
        </w:numPr>
        <w:spacing w:after="60"/>
      </w:pPr>
      <w:r>
        <w:t xml:space="preserve">Ingestion: batch ELT and streaming, with no transformation beyond typing and standardising.</w:t>
      </w:r>
    </w:p>
    <w:p>
      <w:pPr>
        <w:pStyle w:val="ListParagraph"/>
        <w:numPr>
          <w:ilvl w:val="0"/>
          <w:numId w:val="2"/>
        </w:numPr>
        <w:spacing w:after="60"/>
      </w:pPr>
      <w:r>
        <w:t xml:space="preserve">Curated / integration: conformed, mastered and modelled (the dimensional layer).</w:t>
      </w:r>
    </w:p>
    <w:p>
      <w:pPr>
        <w:pStyle w:val="ListParagraph"/>
        <w:numPr>
          <w:ilvl w:val="0"/>
          <w:numId w:val="2"/>
        </w:numPr>
        <w:spacing w:after="60"/>
      </w:pPr>
      <w:r>
        <w:t xml:space="preserve">Serving: marts, APIs and semantic models for BI and regulatory reporting.</w:t>
      </w:r>
    </w:p>
    <w:p>
      <w:pPr>
        <w:pStyle w:val="ListParagraph"/>
        <w:numPr>
          <w:ilvl w:val="0"/>
          <w:numId w:val="2"/>
        </w:numPr>
        <w:spacing w:after="60"/>
      </w:pPr>
      <w:r>
        <w:t xml:space="preserve">Consumption: Power BI / Tableau, notebooks and downstream systems.</w:t>
      </w:r>
    </w:p>
    <w:p>
      <w:pPr>
        <w:pStyle w:val="Heading1"/>
      </w:pPr>
      <w:r>
        <w:t xml:space="preserve">4. Architecture Decision Record (ADR) template</w:t>
      </w:r>
    </w:p>
    <w:p>
      <w:pPr>
        <w:spacing w:after="120"/>
      </w:pPr>
      <w:r>
        <w:t xml:space="preserve">Copy the block below for each significant decision. ADRs are versioned alongside the code/model they affect.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Field</w:t>
            </w:r>
          </w:p>
        </w:tc>
        <w:tc>
          <w:tcPr>
            <w:tcW w:type="dxa" w:w="696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Content</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ADR ID / title</w:t>
            </w:r>
          </w:p>
        </w:tc>
        <w:tc>
          <w:tcPr>
            <w:tcW w:type="dxa" w:w="69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ADR-001: short decision title</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Status</w:t>
            </w:r>
          </w:p>
        </w:tc>
        <w:tc>
          <w:tcPr>
            <w:tcW w:type="dxa" w:w="69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Proposed / Accepted / Superseded by ADR-xxx</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Date</w:t>
            </w:r>
          </w:p>
        </w:tc>
        <w:tc>
          <w:tcPr>
            <w:tcW w:type="dxa" w:w="69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the decision date</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Context</w:t>
            </w:r>
          </w:p>
        </w:tc>
        <w:tc>
          <w:tcPr>
            <w:tcW w:type="dxa" w:w="69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The forces at play: requirement, constraints, regulatory drivers.</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Decision</w:t>
            </w:r>
          </w:p>
        </w:tc>
        <w:tc>
          <w:tcPr>
            <w:tcW w:type="dxa" w:w="69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The choice made, stated in one or two sentences.</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Options considered</w:t>
            </w:r>
          </w:p>
        </w:tc>
        <w:tc>
          <w:tcPr>
            <w:tcW w:type="dxa" w:w="69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Option A, Option B, Option C, with the key trade-off of each.</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Consequences</w:t>
            </w:r>
          </w:p>
        </w:tc>
        <w:tc>
          <w:tcPr>
            <w:tcW w:type="dxa" w:w="69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What becomes easier, what becomes harder, follow-up actions.</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Decision makers</w:t>
            </w:r>
          </w:p>
        </w:tc>
        <w:tc>
          <w:tcPr>
            <w:tcW w:type="dxa" w:w="69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Names / forum, e.g. Architecture Review Board</w:t>
            </w:r>
          </w:p>
        </w:tc>
      </w:tr>
    </w:tbl>
    <w:p>
      <w:pPr>
        <w:pStyle w:val="Heading1"/>
      </w:pPr>
      <w:r>
        <w:t xml:space="preserve">5. Governance of architecture</w:t>
      </w:r>
    </w:p>
    <w:p>
      <w:pPr>
        <w:spacing w:after="120"/>
      </w:pPr>
      <w:r>
        <w:t xml:space="preserve">Significant decisions are reviewed by the Architecture Review Board. Exceptions to principles are time-boxed, risk-assessed and recorded as ADRs with a remediation plan.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Bernard Millet, Data Management Portfolio      Page </w:t>
    </w: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2"/>
      </w:pBdr>
      <w:jc w:val="right"/>
    </w:pPr>
    <w:r>
      <w:rPr>
        <w:color w:val="595959"/>
        <w:sz w:val="16"/>
        <w:szCs w:val="16"/>
      </w:rPr>
      <w:t xml:space="preserve">Data Architecture Principles and ADR  |  Work sample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abstractNum w:abstractNumId="3" w15:restartNumberingAfterBreak="0">
    <w:multiLevelType w:val="hybridMultilevel"/>
    <w:lvl w:ilvl="0" w15:tentative="1">
      <w:start w:val="1"/>
      <w:numFmt w:val="decimal"/>
      <w:lvlText w:val="%1."/>
      <w:lvlJc w:val="left"/>
      <w:pPr>
        <w:ind w:left="6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5496" w:sz="6" w:space="4"/>
      </w:pBdr>
      <w:spacing w:after="160" w:before="320"/>
      <w:outlineLvl w:val="0"/>
    </w:pPr>
    <w:rPr>
      <w:rFonts w:ascii="Arial" w:cs="Arial" w:eastAsia="Arial" w:hAnsi="Arial"/>
      <w:b/>
      <w:bCs/>
      <w:color w:val="1F3864"/>
      <w:sz w:val="30"/>
      <w:szCs w:val="30"/>
    </w:rPr>
  </w:style>
  <w:style w:type="paragraph" w:styleId="Heading2">
    <w:name w:val="Heading 2"/>
    <w:basedOn w:val="Normal"/>
    <w:next w:val="Normal"/>
    <w:qFormat/>
    <w:pPr>
      <w:spacing w:after="100" w:before="220"/>
      <w:outlineLvl w:val="1"/>
    </w:pPr>
    <w:rPr>
      <w:rFonts w:ascii="Arial" w:cs="Arial" w:eastAsia="Arial" w:hAnsi="Arial"/>
      <w:b/>
      <w:bCs/>
      <w:color w:val="2E549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2026-06-29T15:33:05.713Z</dcterms:created>
  <dcterms:modified xsi:type="dcterms:W3CDTF">2026-06-29T15:33:05.713Z</dcterms:modified>
</cp:coreProperties>
</file>

<file path=docProps/custom.xml><?xml version="1.0" encoding="utf-8"?>
<Properties xmlns="http://schemas.openxmlformats.org/officeDocument/2006/custom-properties" xmlns:vt="http://schemas.openxmlformats.org/officeDocument/2006/docPropsVTypes"/>
</file>